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9C" w:rsidRPr="00570839" w:rsidRDefault="00EB509C" w:rsidP="00EB509C">
      <w:pPr>
        <w:spacing w:after="0" w:line="360" w:lineRule="auto"/>
        <w:jc w:val="center"/>
        <w:outlineLvl w:val="2"/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</w:pPr>
      <w:bookmarkStart w:id="0" w:name="_GoBack"/>
      <w:bookmarkEnd w:id="0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>Dedicated to the 300</w:t>
      </w:r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vertAlign w:val="superscript"/>
          <w:lang w:val="en-US"/>
        </w:rPr>
        <w:t>th</w:t>
      </w:r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 anniversary of </w:t>
      </w:r>
      <w:proofErr w:type="spellStart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>Paisii</w:t>
      </w:r>
      <w:proofErr w:type="spellEnd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>Hilendarski</w:t>
      </w:r>
      <w:proofErr w:type="spellEnd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 and </w:t>
      </w:r>
    </w:p>
    <w:p w:rsidR="00EB509C" w:rsidRPr="00570839" w:rsidRDefault="00EB509C" w:rsidP="00EB509C">
      <w:pPr>
        <w:spacing w:after="0" w:line="360" w:lineRule="auto"/>
        <w:jc w:val="center"/>
        <w:outlineLvl w:val="2"/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the </w:t>
      </w:r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</w:rPr>
        <w:t>30</w:t>
      </w:r>
      <w:proofErr w:type="spellStart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vertAlign w:val="superscript"/>
          <w:lang w:val="en-US"/>
        </w:rPr>
        <w:t>th</w:t>
      </w:r>
      <w:proofErr w:type="spellEnd"/>
      <w:r w:rsidRPr="00570839">
        <w:rPr>
          <w:rFonts w:ascii="Garamond" w:eastAsia="Times New Roman" w:hAnsi="Garamond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 anniversary of the Law Faculty at the University of Plovdiv  </w:t>
      </w:r>
    </w:p>
    <w:p w:rsidR="00A222D2" w:rsidRDefault="00A222D2" w:rsidP="00EB509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222D2" w:rsidRDefault="00A222D2" w:rsidP="00A222D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09040" cy="95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44445" w:rsidRPr="00DD3F70" w:rsidRDefault="00B44445" w:rsidP="00EB50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44445" w:rsidRPr="005D1DF4" w:rsidRDefault="00EB509C" w:rsidP="00EB50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 xml:space="preserve">INVITATION LETTER FOR </w:t>
      </w:r>
      <w:r w:rsidR="00E82063" w:rsidRPr="005D1DF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SCIENTIFIC CONFERENCE</w:t>
      </w:r>
    </w:p>
    <w:p w:rsidR="00EB509C" w:rsidRPr="005D1DF4" w:rsidRDefault="00EB509C" w:rsidP="00EB50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val="en-US"/>
        </w:rPr>
      </w:pPr>
    </w:p>
    <w:p w:rsidR="00B44445" w:rsidRPr="005D1DF4" w:rsidRDefault="00B44445" w:rsidP="00EB50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</w:rPr>
      </w:pPr>
      <w:r w:rsidRPr="005D1DF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val="en-US"/>
        </w:rPr>
        <w:t>The Law in the 21</w:t>
      </w:r>
      <w:r w:rsidRPr="005D1DF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vertAlign w:val="superscript"/>
          <w:lang w:val="en-US"/>
        </w:rPr>
        <w:t>st</w:t>
      </w:r>
      <w:r w:rsidRPr="005D1DF4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val="en-US"/>
        </w:rPr>
        <w:t xml:space="preserve"> Century – Challenges and Perspectives</w:t>
      </w:r>
    </w:p>
    <w:p w:rsidR="00B44445" w:rsidRPr="005D1DF4" w:rsidRDefault="00B44445" w:rsidP="00EB50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</w:pPr>
    </w:p>
    <w:p w:rsidR="00B44445" w:rsidRPr="005D1DF4" w:rsidRDefault="00B44445" w:rsidP="00EB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13 and 14 October 2022, Plovdiv</w:t>
      </w:r>
    </w:p>
    <w:p w:rsidR="001C3DE4" w:rsidRPr="005D1DF4" w:rsidRDefault="001C3DE4" w:rsidP="00EB50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44061" w:themeColor="accent1" w:themeShade="80"/>
          <w:sz w:val="20"/>
          <w:szCs w:val="20"/>
          <w:lang w:val="en-US"/>
        </w:rPr>
      </w:pPr>
    </w:p>
    <w:p w:rsidR="00B44445" w:rsidRPr="005D1DF4" w:rsidRDefault="00B44445" w:rsidP="00EB5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</w:pPr>
    </w:p>
    <w:p w:rsidR="00755DDE" w:rsidRPr="005D1DF4" w:rsidRDefault="00755DDE" w:rsidP="005D1D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lang w:val="en-GB" w:eastAsia="en-US"/>
        </w:rPr>
      </w:pPr>
      <w:r w:rsidRPr="005D1DF4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lang w:val="en-GB" w:eastAsia="en-US"/>
        </w:rPr>
        <w:t xml:space="preserve">Dear colleagues, </w:t>
      </w:r>
    </w:p>
    <w:p w:rsidR="00755DDE" w:rsidRPr="005D1DF4" w:rsidRDefault="00755DDE" w:rsidP="005D1D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</w:pP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The 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Law 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Faculty at the University of Plovdiv </w:t>
      </w:r>
      <w:proofErr w:type="spellStart"/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Paisii</w:t>
      </w:r>
      <w:proofErr w:type="spellEnd"/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</w:t>
      </w:r>
      <w:proofErr w:type="spellStart"/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Hi</w:t>
      </w:r>
      <w:r w:rsidR="00F83AF7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l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endarski</w:t>
      </w:r>
      <w:proofErr w:type="spellEnd"/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has the pleasure of inviting you to the scientific conference</w:t>
      </w:r>
      <w:r w:rsidRPr="005D1DF4">
        <w:rPr>
          <w:rFonts w:ascii="Times New Roman" w:eastAsia="Times New Roman" w:hAnsi="Times New Roman" w:cs="Times New Roman"/>
          <w:bCs/>
          <w:color w:val="244061" w:themeColor="accent1" w:themeShade="80"/>
          <w:spacing w:val="-2"/>
          <w:sz w:val="24"/>
          <w:szCs w:val="24"/>
          <w:lang w:val="en-US"/>
        </w:rPr>
        <w:t>.</w:t>
      </w:r>
      <w:r w:rsidR="00EB509C" w:rsidRPr="005D1DF4">
        <w:rPr>
          <w:rFonts w:ascii="Times New Roman" w:eastAsia="Times New Roman" w:hAnsi="Times New Roman" w:cs="Times New Roman"/>
          <w:bCs/>
          <w:color w:val="244061" w:themeColor="accent1" w:themeShade="80"/>
          <w:spacing w:val="-2"/>
          <w:sz w:val="24"/>
          <w:szCs w:val="24"/>
          <w:lang w:val="en-US"/>
        </w:rPr>
        <w:t xml:space="preserve"> 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This year we are celebrating 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300 years since the birth </w:t>
      </w:r>
      <w:r w:rsidR="00EB509C" w:rsidRPr="005D1DF4">
        <w:rPr>
          <w:rFonts w:ascii="Times New Roman" w:eastAsia="Calibri" w:hAnsi="Times New Roman" w:cs="Times New Roman"/>
          <w:bCs/>
          <w:color w:val="244061" w:themeColor="accent1" w:themeShade="80"/>
          <w:spacing w:val="-2"/>
          <w:sz w:val="24"/>
          <w:szCs w:val="24"/>
          <w:lang w:val="en-US" w:eastAsia="en-US"/>
        </w:rPr>
        <w:t xml:space="preserve">of </w:t>
      </w:r>
      <w:proofErr w:type="spellStart"/>
      <w:r w:rsidR="00EB509C" w:rsidRPr="005D1DF4">
        <w:rPr>
          <w:rFonts w:ascii="Times New Roman" w:eastAsia="Calibri" w:hAnsi="Times New Roman" w:cs="Times New Roman"/>
          <w:bCs/>
          <w:color w:val="244061" w:themeColor="accent1" w:themeShade="80"/>
          <w:spacing w:val="-2"/>
          <w:sz w:val="24"/>
          <w:szCs w:val="24"/>
          <w:lang w:val="en-US" w:eastAsia="en-US"/>
        </w:rPr>
        <w:t>Paisii</w:t>
      </w:r>
      <w:proofErr w:type="spellEnd"/>
      <w:r w:rsidR="00EB509C" w:rsidRPr="005D1DF4">
        <w:rPr>
          <w:rFonts w:ascii="Times New Roman" w:eastAsia="Calibri" w:hAnsi="Times New Roman" w:cs="Times New Roman"/>
          <w:bCs/>
          <w:color w:val="244061" w:themeColor="accent1" w:themeShade="80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EB509C" w:rsidRPr="005D1DF4">
        <w:rPr>
          <w:rFonts w:ascii="Times New Roman" w:eastAsia="Calibri" w:hAnsi="Times New Roman" w:cs="Times New Roman"/>
          <w:bCs/>
          <w:color w:val="244061" w:themeColor="accent1" w:themeShade="80"/>
          <w:spacing w:val="-2"/>
          <w:sz w:val="24"/>
          <w:szCs w:val="24"/>
          <w:lang w:val="en-US" w:eastAsia="en-US"/>
        </w:rPr>
        <w:t>Hilendarski</w:t>
      </w:r>
      <w:proofErr w:type="spellEnd"/>
      <w:r w:rsidR="00EB509C"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pacing w:val="-2"/>
          <w:sz w:val="24"/>
          <w:szCs w:val="24"/>
          <w:lang w:val="en-US" w:eastAsia="en-US"/>
        </w:rPr>
        <w:t xml:space="preserve"> 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and 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30 years since the founding of 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our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Faculty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. The Faculty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is</w:t>
      </w:r>
      <w:r w:rsidR="0003790F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recognized as one of the 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leading</w:t>
      </w:r>
      <w:r w:rsidR="00EB509C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national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educational and research institutions</w:t>
      </w:r>
      <w:r w:rsidR="006D0CE5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in the field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of law.</w:t>
      </w:r>
    </w:p>
    <w:p w:rsidR="00755DDE" w:rsidRPr="005D1DF4" w:rsidRDefault="003C5146" w:rsidP="005D1D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</w:pPr>
      <w:r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In the focus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</w:t>
      </w:r>
      <w:r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of the conference are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the series of challenges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eastAsia="en-US"/>
        </w:rPr>
        <w:t xml:space="preserve"> 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which we observe in present d</w:t>
      </w:r>
      <w:r w:rsidR="00B04613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ays. We witness turbulent, 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shocking but also interesting events which are </w:t>
      </w:r>
      <w:r w:rsidR="00D73511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the 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result of the </w:t>
      </w:r>
      <w:r w:rsidR="00E74E2A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multi-layered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crisis, cause by the pandemic, inflation, war, etc. These events affe</w:t>
      </w:r>
      <w:r w:rsidR="006D0CE5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ct</w:t>
      </w:r>
      <w:r w:rsidR="00114377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seriously</w:t>
      </w:r>
      <w:r w:rsidR="006D0CE5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all relations in the field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of private and public law, national and international law. Universal values </w:t>
      </w:r>
      <w:r w:rsidR="006D0CE5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such 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as freedom, peace, equality, justice and tolerance have been tested. All this raises questions </w:t>
      </w:r>
      <w:r w:rsidR="00AE37BD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>of</w:t>
      </w:r>
      <w:r w:rsidR="00D73511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re-examining</w:t>
      </w:r>
      <w:r w:rsidR="00755DDE" w:rsidRPr="005D1DF4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lang w:val="en-GB" w:eastAsia="en-US"/>
        </w:rPr>
        <w:t xml:space="preserve"> the long-ago established institutions and rules.</w:t>
      </w:r>
    </w:p>
    <w:p w:rsidR="006D0CE5" w:rsidRPr="005D1DF4" w:rsidRDefault="00755DDE" w:rsidP="005D1D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</w:pP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The upc</w:t>
      </w:r>
      <w:r w:rsidR="00497183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oming forum is open for 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diverse legal issue discussi</w:t>
      </w:r>
      <w:r w:rsidR="006D0CE5"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>ons. Conference papers are welcome in all fields</w:t>
      </w:r>
      <w:r w:rsidRPr="005D1DF4">
        <w:rPr>
          <w:rFonts w:ascii="Times New Roman" w:eastAsia="Calibri" w:hAnsi="Times New Roman" w:cs="Times New Roman"/>
          <w:color w:val="244061" w:themeColor="accent1" w:themeShade="80"/>
          <w:spacing w:val="-2"/>
          <w:sz w:val="24"/>
          <w:szCs w:val="24"/>
          <w:lang w:val="en-GB" w:eastAsia="en-US"/>
        </w:rPr>
        <w:t xml:space="preserve"> of law, as well as interdisciplinary researches in connection with law. </w:t>
      </w:r>
    </w:p>
    <w:p w:rsidR="006D0CE5" w:rsidRPr="005D1DF4" w:rsidRDefault="006D0CE5" w:rsidP="005D1DF4">
      <w:pPr>
        <w:pStyle w:val="ListParagraph"/>
        <w:spacing w:line="360" w:lineRule="auto"/>
        <w:ind w:left="0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The conference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will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take place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on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13 and 14 October 2022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at the University Rectorate with an option for online participation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>.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You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may confirm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participation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in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the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event and/or submit a paper for a peer-reviewed collected work.</w:t>
      </w:r>
    </w:p>
    <w:p w:rsidR="006D0CE5" w:rsidRPr="005D1DF4" w:rsidRDefault="006D0CE5" w:rsidP="00EB509C">
      <w:pPr>
        <w:pStyle w:val="ListParagraph"/>
        <w:spacing w:line="276" w:lineRule="auto"/>
        <w:ind w:left="0" w:firstLine="0"/>
        <w:rPr>
          <w:rFonts w:ascii="Times New Roman" w:eastAsia="Calibri" w:hAnsi="Times New Roman" w:cs="Times New Roman"/>
          <w:bCs/>
          <w:color w:val="244061" w:themeColor="accent1" w:themeShade="80"/>
          <w:sz w:val="28"/>
          <w:szCs w:val="28"/>
        </w:rPr>
      </w:pPr>
    </w:p>
    <w:p w:rsidR="006D0CE5" w:rsidRPr="005D1DF4" w:rsidRDefault="006D0CE5" w:rsidP="005D1DF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Key details</w:t>
      </w:r>
    </w:p>
    <w:p w:rsidR="006D0CE5" w:rsidRPr="005D1DF4" w:rsidRDefault="006D0CE5" w:rsidP="005D1DF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ab/>
        <w:t xml:space="preserve">1. Terms for abstract and registration form submission not later than </w:t>
      </w:r>
      <w:r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29 September 2022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; for final paper submission not later than </w:t>
      </w:r>
      <w:r w:rsidRPr="005D1DF4">
        <w:rPr>
          <w:rFonts w:ascii="Times New Roman" w:eastAsia="Calibri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15 December 2022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.</w:t>
      </w:r>
    </w:p>
    <w:p w:rsidR="006D0CE5" w:rsidRPr="005D1DF4" w:rsidRDefault="006D0CE5" w:rsidP="005D1DF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</w:pP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ab/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2.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Registration form and guidelines for authors are available here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>.</w:t>
      </w:r>
    </w:p>
    <w:p w:rsidR="006D0CE5" w:rsidRPr="005D1DF4" w:rsidRDefault="006D0CE5" w:rsidP="005D1DF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</w:pP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lastRenderedPageBreak/>
        <w:tab/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3.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The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publication of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the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paper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depends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on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the approval of editorial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board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>.</w:t>
      </w:r>
    </w:p>
    <w:p w:rsidR="006D0CE5" w:rsidRPr="005D1DF4" w:rsidRDefault="006D0CE5" w:rsidP="005D1DF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ab/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4.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For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any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other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questions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and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submission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of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relevant documents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>, pl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e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ase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contact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  <w:lang w:val="en-US"/>
        </w:rPr>
        <w:t>at</w:t>
      </w:r>
      <w:r w:rsidRPr="005D1DF4">
        <w:rPr>
          <w:rFonts w:ascii="Times New Roman" w:eastAsia="Calibri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hyperlink r:id="rId8" w:history="1">
        <w:r w:rsidRPr="004734E9">
          <w:rPr>
            <w:rStyle w:val="Hyperlink"/>
            <w:rFonts w:ascii="Times New Roman" w:hAnsi="Times New Roman" w:cs="Times New Roman"/>
            <w:b/>
            <w:bCs/>
            <w:color w:val="244061" w:themeColor="accent1" w:themeShade="80"/>
            <w:sz w:val="24"/>
            <w:szCs w:val="24"/>
            <w:u w:val="none"/>
          </w:rPr>
          <w:t>forums_law@uni-plovdiv.bg</w:t>
        </w:r>
      </w:hyperlink>
      <w:r w:rsidRPr="005D1DF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. </w:t>
      </w:r>
      <w:r w:rsidR="00BD4962"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Please, include as </w:t>
      </w:r>
      <w:r w:rsidR="00497183"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>s</w:t>
      </w:r>
      <w:r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>ubject</w:t>
      </w:r>
      <w:r w:rsidR="00BD4962"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in your mail</w:t>
      </w:r>
      <w:r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 xml:space="preserve"> </w:t>
      </w:r>
      <w:r w:rsidRPr="005D1DF4">
        <w:rPr>
          <w:rFonts w:ascii="Times New Roman" w:hAnsi="Times New Roman" w:cs="Times New Roman"/>
          <w:bCs/>
          <w:i/>
          <w:color w:val="244061" w:themeColor="accent1" w:themeShade="80"/>
          <w:sz w:val="24"/>
          <w:szCs w:val="24"/>
          <w:lang w:val="en-US"/>
        </w:rPr>
        <w:t>Conference 30</w:t>
      </w:r>
      <w:r w:rsidRPr="005D1DF4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  <w:lang w:val="en-US"/>
        </w:rPr>
        <w:t>.</w:t>
      </w:r>
    </w:p>
    <w:p w:rsidR="00526B90" w:rsidRPr="005D1DF4" w:rsidRDefault="006D0CE5" w:rsidP="00EB509C">
      <w:pPr>
        <w:spacing w:after="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  <w:tab/>
      </w:r>
    </w:p>
    <w:p w:rsidR="006D0CE5" w:rsidRPr="005D1DF4" w:rsidRDefault="006D0CE5" w:rsidP="003A331D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</w:pPr>
      <w:r w:rsidRPr="005D1DF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lang w:val="en-US"/>
        </w:rPr>
        <w:t>Looking forward to seeing you in Plovdiv!</w:t>
      </w:r>
    </w:p>
    <w:p w:rsidR="00526B90" w:rsidRPr="005D1DF4" w:rsidRDefault="00526B90" w:rsidP="00526B90">
      <w:pPr>
        <w:spacing w:after="0"/>
        <w:ind w:firstLine="708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</w:pPr>
    </w:p>
    <w:p w:rsidR="006D0CE5" w:rsidRPr="005D1DF4" w:rsidRDefault="006D0CE5" w:rsidP="00526B90">
      <w:pPr>
        <w:spacing w:after="0"/>
        <w:ind w:firstLine="708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5D1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Plovdiv</w:t>
      </w:r>
      <w:r w:rsidRPr="005D1DF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, </w:t>
      </w:r>
      <w:r w:rsidRPr="005D1DF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Bulgaria</w:t>
      </w:r>
      <w:r w:rsidRPr="005D1DF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, </w:t>
      </w:r>
      <w:r w:rsidRPr="005D1DF4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lang w:val="en-US"/>
        </w:rPr>
        <w:t>May</w:t>
      </w:r>
      <w:r w:rsidRPr="005D1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20</w:t>
      </w:r>
      <w:r w:rsidRPr="005D1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22</w:t>
      </w:r>
      <w:r w:rsidRPr="005D1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</w:t>
      </w:r>
    </w:p>
    <w:p w:rsidR="006D0CE5" w:rsidRPr="005D1DF4" w:rsidRDefault="006D0CE5" w:rsidP="00EB509C">
      <w:pPr>
        <w:spacing w:after="0"/>
        <w:jc w:val="both"/>
        <w:rPr>
          <w:rFonts w:ascii="Times New Roman" w:eastAsia="Calibri" w:hAnsi="Times New Roman" w:cs="Times New Roman"/>
          <w:color w:val="244061" w:themeColor="accent1" w:themeShade="80"/>
          <w:sz w:val="28"/>
          <w:szCs w:val="28"/>
          <w:lang w:val="en-GB" w:eastAsia="en-US"/>
        </w:rPr>
      </w:pPr>
    </w:p>
    <w:p w:rsidR="00755DDE" w:rsidRPr="005D1DF4" w:rsidRDefault="00755DDE" w:rsidP="00526B90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lang w:val="en-GB" w:eastAsia="en-US"/>
        </w:rPr>
      </w:pPr>
      <w:r w:rsidRPr="005D1DF4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  <w:lang w:val="en-GB" w:eastAsia="en-US"/>
        </w:rPr>
        <w:t>Organizing Committee</w:t>
      </w:r>
    </w:p>
    <w:p w:rsidR="006D0CE5" w:rsidRPr="005D1DF4" w:rsidRDefault="00526B90" w:rsidP="00102C55">
      <w:pPr>
        <w:spacing w:after="0"/>
        <w:ind w:firstLine="708"/>
        <w:jc w:val="both"/>
        <w:rPr>
          <w:color w:val="244061" w:themeColor="accent1" w:themeShade="80"/>
          <w:sz w:val="24"/>
          <w:szCs w:val="24"/>
        </w:rPr>
      </w:pPr>
      <w:r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Prof. Dr. </w:t>
      </w:r>
      <w:proofErr w:type="spellStart"/>
      <w:r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Habil</w:t>
      </w:r>
      <w:proofErr w:type="spellEnd"/>
      <w:r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. </w:t>
      </w:r>
      <w:proofErr w:type="spellStart"/>
      <w:r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Ma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l</w:t>
      </w:r>
      <w:r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i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Novkirishka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,</w:t>
      </w:r>
      <w:r w:rsidR="006D0CE5" w:rsidRPr="005D1DF4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 xml:space="preserve">Darina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Zinovieva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Grigor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Grigorov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Assoc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Daniela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Doncheva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Assoc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EB509C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Hristo</w:t>
      </w:r>
      <w:proofErr w:type="spellEnd"/>
      <w:r w:rsidR="00EB509C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EB509C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Pau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nov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Assoc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Angel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Shopov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Ch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Assistant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Zhana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Koleva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Ch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Assistant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Nedyalko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Petrov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it-IT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Ch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Assistant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Vanya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Todorova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it-IT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Assistant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Vanya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Miteva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it-IT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Assistant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Prof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Kristian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Raychev</w:t>
      </w:r>
      <w:proofErr w:type="spellEnd"/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proofErr w:type="spellStart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  <w:t>Kiril</w:t>
      </w:r>
      <w:proofErr w:type="spellEnd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  <w:t>Ilchev</w:t>
      </w:r>
      <w:proofErr w:type="spellEnd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,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it-IT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Student</w:t>
      </w:r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; </w:t>
      </w:r>
      <w:proofErr w:type="spellStart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  <w:t>Petar</w:t>
      </w:r>
      <w:proofErr w:type="spellEnd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proofErr w:type="spellStart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val="en-US"/>
        </w:rPr>
        <w:t>Yanev</w:t>
      </w:r>
      <w:proofErr w:type="spellEnd"/>
      <w:r w:rsidR="006D0CE5" w:rsidRPr="005D1DF4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,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it-IT"/>
        </w:rPr>
        <w:t>PhD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  <w:t>Student</w:t>
      </w:r>
      <w:r w:rsidR="006D0CE5" w:rsidRPr="005D1DF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6D0CE5" w:rsidRPr="00EB509C" w:rsidRDefault="006D0CE5" w:rsidP="00102C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3453" w:rsidRPr="00B44445" w:rsidRDefault="00ED3453" w:rsidP="00EB509C">
      <w:pPr>
        <w:pStyle w:val="ListParagraph"/>
        <w:spacing w:line="276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D79AF" w:rsidRPr="00ED3453" w:rsidRDefault="00ED3453" w:rsidP="00EB509C">
      <w:pPr>
        <w:pStyle w:val="ListParagraph"/>
        <w:spacing w:line="276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D79AF" w:rsidRPr="00DC3944" w:rsidRDefault="00ED3453" w:rsidP="00EB50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09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D79AF" w:rsidRPr="00DC3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EDF" w:rsidRPr="00EB509C" w:rsidRDefault="00140EDF" w:rsidP="00EB509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9524A" w:rsidRPr="00BD79AF" w:rsidRDefault="0049524A" w:rsidP="00EB509C">
      <w:pPr>
        <w:spacing w:after="0"/>
      </w:pPr>
    </w:p>
    <w:sectPr w:rsidR="0049524A" w:rsidRPr="00BD79AF" w:rsidSect="004952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15" w:rsidRDefault="004D0815" w:rsidP="00ED3453">
      <w:pPr>
        <w:spacing w:after="0" w:line="240" w:lineRule="auto"/>
      </w:pPr>
      <w:r>
        <w:separator/>
      </w:r>
    </w:p>
  </w:endnote>
  <w:endnote w:type="continuationSeparator" w:id="0">
    <w:p w:rsidR="004D0815" w:rsidRDefault="004D0815" w:rsidP="00E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15" w:rsidRDefault="004D0815" w:rsidP="00ED3453">
      <w:pPr>
        <w:spacing w:after="0" w:line="240" w:lineRule="auto"/>
      </w:pPr>
      <w:r>
        <w:separator/>
      </w:r>
    </w:p>
  </w:footnote>
  <w:footnote w:type="continuationSeparator" w:id="0">
    <w:p w:rsidR="004D0815" w:rsidRDefault="004D0815" w:rsidP="00ED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90" w:rsidRPr="005D1DF4" w:rsidRDefault="00526B90" w:rsidP="00526B90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i/>
        <w:color w:val="244061" w:themeColor="accent1" w:themeShade="80"/>
        <w:sz w:val="20"/>
        <w:szCs w:val="20"/>
        <w:lang w:val="en-US"/>
      </w:rPr>
    </w:pPr>
    <w:r w:rsidRPr="005D1DF4">
      <w:rPr>
        <w:rFonts w:ascii="Times New Roman" w:eastAsia="Times New Roman" w:hAnsi="Times New Roman" w:cs="Times New Roman"/>
        <w:b/>
        <w:bCs/>
        <w:i/>
        <w:color w:val="244061" w:themeColor="accent1" w:themeShade="80"/>
        <w:sz w:val="20"/>
        <w:szCs w:val="20"/>
        <w:lang w:val="en-US"/>
      </w:rPr>
      <w:t>The Law in the 21</w:t>
    </w:r>
    <w:r w:rsidRPr="005D1DF4">
      <w:rPr>
        <w:rFonts w:ascii="Times New Roman" w:eastAsia="Times New Roman" w:hAnsi="Times New Roman" w:cs="Times New Roman"/>
        <w:b/>
        <w:bCs/>
        <w:i/>
        <w:color w:val="244061" w:themeColor="accent1" w:themeShade="80"/>
        <w:sz w:val="20"/>
        <w:szCs w:val="20"/>
        <w:vertAlign w:val="superscript"/>
        <w:lang w:val="en-US"/>
      </w:rPr>
      <w:t>st</w:t>
    </w:r>
    <w:r w:rsidRPr="005D1DF4">
      <w:rPr>
        <w:rFonts w:ascii="Times New Roman" w:eastAsia="Times New Roman" w:hAnsi="Times New Roman" w:cs="Times New Roman"/>
        <w:b/>
        <w:bCs/>
        <w:i/>
        <w:color w:val="244061" w:themeColor="accent1" w:themeShade="80"/>
        <w:sz w:val="20"/>
        <w:szCs w:val="20"/>
        <w:lang w:val="en-US"/>
      </w:rPr>
      <w:t xml:space="preserve"> Century – Challenges and Perspectives</w:t>
    </w:r>
  </w:p>
  <w:p w:rsidR="005124DE" w:rsidRPr="005D1DF4" w:rsidRDefault="005124DE" w:rsidP="005124DE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i/>
        <w:color w:val="244061" w:themeColor="accent1" w:themeShade="80"/>
        <w:sz w:val="24"/>
        <w:szCs w:val="24"/>
        <w:lang w:val="en-US"/>
      </w:rPr>
    </w:pPr>
  </w:p>
  <w:p w:rsidR="007C4AAD" w:rsidRPr="005124DE" w:rsidRDefault="007C4AA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3FD3"/>
    <w:multiLevelType w:val="hybridMultilevel"/>
    <w:tmpl w:val="364ED89C"/>
    <w:lvl w:ilvl="0" w:tplc="040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F"/>
    <w:rsid w:val="0003790F"/>
    <w:rsid w:val="000647D8"/>
    <w:rsid w:val="00102C55"/>
    <w:rsid w:val="00114377"/>
    <w:rsid w:val="00140EDF"/>
    <w:rsid w:val="001C3DE4"/>
    <w:rsid w:val="001E415A"/>
    <w:rsid w:val="0021009A"/>
    <w:rsid w:val="002834D0"/>
    <w:rsid w:val="00336C15"/>
    <w:rsid w:val="003A331D"/>
    <w:rsid w:val="003C5146"/>
    <w:rsid w:val="003E4383"/>
    <w:rsid w:val="004734E9"/>
    <w:rsid w:val="0049524A"/>
    <w:rsid w:val="00497183"/>
    <w:rsid w:val="004D0815"/>
    <w:rsid w:val="004F1160"/>
    <w:rsid w:val="005124DE"/>
    <w:rsid w:val="00526B90"/>
    <w:rsid w:val="00570839"/>
    <w:rsid w:val="00596FD5"/>
    <w:rsid w:val="005D1DF4"/>
    <w:rsid w:val="005D4801"/>
    <w:rsid w:val="006D0CE5"/>
    <w:rsid w:val="00715797"/>
    <w:rsid w:val="00755DDE"/>
    <w:rsid w:val="007C2F9D"/>
    <w:rsid w:val="007C4AAD"/>
    <w:rsid w:val="008A4B8F"/>
    <w:rsid w:val="008A56DA"/>
    <w:rsid w:val="008B23B1"/>
    <w:rsid w:val="008E6027"/>
    <w:rsid w:val="008F770F"/>
    <w:rsid w:val="00997276"/>
    <w:rsid w:val="009C1302"/>
    <w:rsid w:val="009C7C55"/>
    <w:rsid w:val="00A06EBD"/>
    <w:rsid w:val="00A222D2"/>
    <w:rsid w:val="00A33799"/>
    <w:rsid w:val="00AA524C"/>
    <w:rsid w:val="00AE37BD"/>
    <w:rsid w:val="00B04613"/>
    <w:rsid w:val="00B0544D"/>
    <w:rsid w:val="00B44445"/>
    <w:rsid w:val="00B447CB"/>
    <w:rsid w:val="00B86E4A"/>
    <w:rsid w:val="00BA5D79"/>
    <w:rsid w:val="00BD4962"/>
    <w:rsid w:val="00BD79AF"/>
    <w:rsid w:val="00BE242E"/>
    <w:rsid w:val="00C21D43"/>
    <w:rsid w:val="00C65F20"/>
    <w:rsid w:val="00D245EE"/>
    <w:rsid w:val="00D73511"/>
    <w:rsid w:val="00DD3F70"/>
    <w:rsid w:val="00DF2D04"/>
    <w:rsid w:val="00E126BD"/>
    <w:rsid w:val="00E74E2A"/>
    <w:rsid w:val="00E82063"/>
    <w:rsid w:val="00E979E7"/>
    <w:rsid w:val="00EB33E8"/>
    <w:rsid w:val="00EB509C"/>
    <w:rsid w:val="00EC4A6C"/>
    <w:rsid w:val="00ED3453"/>
    <w:rsid w:val="00EF15BD"/>
    <w:rsid w:val="00EF2E52"/>
    <w:rsid w:val="00F83AF7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6BD76-22FF-4954-94D4-52039443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F"/>
    <w:pPr>
      <w:spacing w:after="0" w:line="259" w:lineRule="auto"/>
      <w:ind w:left="720" w:firstLine="709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53"/>
  </w:style>
  <w:style w:type="paragraph" w:styleId="Footer">
    <w:name w:val="footer"/>
    <w:basedOn w:val="Normal"/>
    <w:link w:val="FooterChar"/>
    <w:uiPriority w:val="99"/>
    <w:unhideWhenUsed/>
    <w:rsid w:val="00E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53"/>
  </w:style>
  <w:style w:type="character" w:styleId="Hyperlink">
    <w:name w:val="Hyperlink"/>
    <w:basedOn w:val="DefaultParagraphFont"/>
    <w:uiPriority w:val="99"/>
    <w:unhideWhenUsed/>
    <w:rsid w:val="00EB3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s_law@uni-plovdi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AngelShopov</dc:creator>
  <cp:lastModifiedBy>Ани Х. Павлова</cp:lastModifiedBy>
  <cp:revision>2</cp:revision>
  <cp:lastPrinted>2022-05-31T13:22:00Z</cp:lastPrinted>
  <dcterms:created xsi:type="dcterms:W3CDTF">2022-06-07T07:20:00Z</dcterms:created>
  <dcterms:modified xsi:type="dcterms:W3CDTF">2022-06-07T07:20:00Z</dcterms:modified>
</cp:coreProperties>
</file>