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28"/>
              <w:szCs w:val="28"/>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D83A30" w:rsidP="00AE1971">
              <w:pPr>
                <w:tabs>
                  <w:tab w:val="left" w:pos="5370"/>
                </w:tabs>
                <w:jc w:val="center"/>
                <w:rPr>
                  <w:rFonts w:cs="Times New Roman"/>
                  <w:szCs w:val="24"/>
                  <w:lang w:val="bg-BG"/>
                </w:rPr>
              </w:pPr>
              <w:r>
                <w:rPr>
                  <w:rStyle w:val="BookTitle"/>
                  <w:sz w:val="28"/>
                  <w:szCs w:val="28"/>
                  <w:lang w:val="bg-BG"/>
                </w:rPr>
                <w:t>Търговско право – II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D83A30"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83A30"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3D3AB1" w:rsidRDefault="003D3AB1" w:rsidP="003D3AB1">
                    <w:pPr>
                      <w:rPr>
                        <w:rFonts w:cs="Times New Roman"/>
                        <w:szCs w:val="24"/>
                        <w:lang w:val="bg-BG"/>
                      </w:rPr>
                    </w:pPr>
                    <w:r>
                      <w:rPr>
                        <w:rFonts w:cs="Times New Roman"/>
                        <w:szCs w:val="24"/>
                        <w:lang w:val="bg-BG"/>
                      </w:rPr>
                      <w:t>Проф. д-р Григор Григоров</w:t>
                    </w:r>
                  </w:p>
                  <w:p w:rsidR="00FB1B8F" w:rsidRPr="00464F8A" w:rsidRDefault="003D3AB1" w:rsidP="003D3AB1">
                    <w:pPr>
                      <w:rPr>
                        <w:rFonts w:cs="Times New Roman"/>
                        <w:szCs w:val="24"/>
                        <w:lang w:val="bg-BG"/>
                      </w:rPr>
                    </w:pPr>
                    <w:r>
                      <w:rPr>
                        <w:rFonts w:cs="Times New Roman"/>
                        <w:szCs w:val="24"/>
                        <w:lang w:val="bg-BG"/>
                      </w:rPr>
                      <w:t>Доц. д-р Мария Кьосева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83A30"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83A30"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D83A30"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D83A30"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D83A30" w:rsidP="00377EFF">
                    <w:pPr>
                      <w:rPr>
                        <w:rFonts w:cs="Times New Roman"/>
                        <w:szCs w:val="24"/>
                        <w:lang w:val="bg-BG" w:eastAsia="zh-TW"/>
                      </w:rPr>
                    </w:pPr>
                    <w:r>
                      <w:rPr>
                        <w:rFonts w:cs="Times New Roman"/>
                        <w:szCs w:val="24"/>
                        <w:lang w:val="bg-BG"/>
                      </w:rPr>
                      <w:t>90/126</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 Търговски сделки (ТС) – понятие, правни източници, характерни черти. Видове ТС. </w:t>
              </w:r>
              <w:proofErr w:type="spellStart"/>
              <w:r w:rsidRPr="007B629F">
                <w:rPr>
                  <w:rFonts w:eastAsia="Calibri" w:cs="Times New Roman"/>
                  <w:szCs w:val="24"/>
                  <w:lang w:val="bg-BG"/>
                </w:rPr>
                <w:t>Отграничение</w:t>
              </w:r>
              <w:proofErr w:type="spellEnd"/>
              <w:r w:rsidRPr="007B629F">
                <w:rPr>
                  <w:rFonts w:eastAsia="Calibri" w:cs="Times New Roman"/>
                  <w:szCs w:val="24"/>
                  <w:lang w:val="bg-BG"/>
                </w:rPr>
                <w:t xml:space="preserve"> от сделките в гражданското право.</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2. Сключване на ТС. Принцип на договорна свобода. Значение на мълчанието при сключване на ТС. Определяне на престацията.</w:t>
              </w:r>
              <w:r w:rsidRPr="007B629F">
                <w:rPr>
                  <w:rFonts w:eastAsia="Calibri" w:cs="Times New Roman"/>
                  <w:color w:val="00B050"/>
                  <w:szCs w:val="24"/>
                  <w:lang w:val="bg-BG"/>
                </w:rPr>
                <w:t xml:space="preserve">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3. Форма и видове форми на ТС. Търговска сделка при общи условия.</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4. Изпълнение и неизпълнение на задълженията по ТС. Действия от името на търговец без представителна власт. Правни последици от неизпълнение на задълженията по ТС. Лихви по ТС. </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5. Непреодолимата сила.</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6. Неустойка. </w:t>
              </w:r>
              <w:proofErr w:type="spellStart"/>
              <w:r w:rsidRPr="007B629F">
                <w:rPr>
                  <w:rFonts w:eastAsia="Calibri" w:cs="Times New Roman"/>
                  <w:szCs w:val="24"/>
                  <w:lang w:val="bg-BG"/>
                </w:rPr>
                <w:t>Отметнина</w:t>
              </w:r>
              <w:proofErr w:type="spellEnd"/>
              <w:r w:rsidRPr="007B629F">
                <w:rPr>
                  <w:rFonts w:eastAsia="Calibri" w:cs="Times New Roman"/>
                  <w:szCs w:val="24"/>
                  <w:lang w:val="bg-BG"/>
                </w:rPr>
                <w:t xml:space="preserve"> – понятие, съпоставка със задатъка. </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 xml:space="preserve">7.Стопанска непоносимост – понятие, </w:t>
              </w:r>
              <w:proofErr w:type="spellStart"/>
              <w:r w:rsidRPr="007B629F">
                <w:rPr>
                  <w:rFonts w:eastAsia="Calibri" w:cs="Times New Roman"/>
                  <w:szCs w:val="24"/>
                  <w:lang w:val="bg-BG"/>
                </w:rPr>
                <w:t>отграничение</w:t>
              </w:r>
              <w:proofErr w:type="spellEnd"/>
              <w:r w:rsidRPr="007B629F">
                <w:rPr>
                  <w:rFonts w:eastAsia="Calibri" w:cs="Times New Roman"/>
                  <w:szCs w:val="24"/>
                  <w:lang w:val="bg-BG"/>
                </w:rPr>
                <w:t xml:space="preserve"> от непреодолимата сила, установяване, последици.</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 xml:space="preserve">8. Търговски обезпечения: Общи положения, специфика спрямо </w:t>
              </w:r>
              <w:proofErr w:type="spellStart"/>
              <w:r w:rsidRPr="007B629F">
                <w:rPr>
                  <w:rFonts w:eastAsia="Calibri" w:cs="Times New Roman"/>
                  <w:szCs w:val="24"/>
                  <w:lang w:val="bg-BG"/>
                </w:rPr>
                <w:t>обезпеченията</w:t>
              </w:r>
              <w:proofErr w:type="spellEnd"/>
              <w:r w:rsidRPr="007B629F">
                <w:rPr>
                  <w:rFonts w:eastAsia="Calibri" w:cs="Times New Roman"/>
                  <w:szCs w:val="24"/>
                  <w:lang w:val="bg-BG"/>
                </w:rPr>
                <w:t xml:space="preserve"> в гражданското право. Търговски залог, търговско право на задържане. Банков залог.</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9. Особен залог – правна уредба, особености. Учредяване, задължения, принудително осъществяване на заложното право.</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lastRenderedPageBreak/>
                <w:t>10.Търговска продажба: Понятие, специфични черти. Сключване и действие на търговската продажба.</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11. Особени търговски продажби. </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12. Международна продажба – понятие, правен режим.</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13. Договор за лизинг - понятие, </w:t>
              </w:r>
              <w:proofErr w:type="spellStart"/>
              <w:r w:rsidRPr="007B629F">
                <w:rPr>
                  <w:rFonts w:eastAsia="Calibri" w:cs="Times New Roman"/>
                  <w:szCs w:val="24"/>
                  <w:lang w:val="bg-BG"/>
                </w:rPr>
                <w:t>отграничение</w:t>
              </w:r>
              <w:proofErr w:type="spellEnd"/>
              <w:r w:rsidRPr="007B629F">
                <w:rPr>
                  <w:rFonts w:eastAsia="Calibri" w:cs="Times New Roman"/>
                  <w:szCs w:val="24"/>
                  <w:lang w:val="bg-BG"/>
                </w:rPr>
                <w:t xml:space="preserve"> от наема и от продажбата. Видове лизинг. Сключване.</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14. Задължения на страните. </w:t>
              </w:r>
              <w:proofErr w:type="spellStart"/>
              <w:r w:rsidRPr="007B629F">
                <w:rPr>
                  <w:rFonts w:eastAsia="Calibri" w:cs="Times New Roman"/>
                  <w:color w:val="0D0D0D"/>
                  <w:szCs w:val="24"/>
                  <w:lang w:val="bg-BG"/>
                </w:rPr>
                <w:t>Сублизин</w:t>
              </w:r>
              <w:r w:rsidRPr="00801DC0">
                <w:rPr>
                  <w:rFonts w:eastAsia="Calibri" w:cs="Times New Roman"/>
                  <w:color w:val="0D0D0D"/>
                  <w:szCs w:val="24"/>
                  <w:lang w:val="bg-BG"/>
                </w:rPr>
                <w:t>г</w:t>
              </w:r>
              <w:proofErr w:type="spellEnd"/>
              <w:r w:rsidRPr="00801DC0">
                <w:rPr>
                  <w:rFonts w:eastAsia="Calibri" w:cs="Times New Roman"/>
                  <w:szCs w:val="24"/>
                  <w:lang w:val="bg-BG"/>
                </w:rPr>
                <w:t>.</w:t>
              </w:r>
              <w:r w:rsidRPr="007B629F">
                <w:rPr>
                  <w:rFonts w:eastAsia="Calibri" w:cs="Times New Roman"/>
                  <w:szCs w:val="24"/>
                  <w:lang w:val="bg-BG"/>
                </w:rPr>
                <w:t xml:space="preserve"> Проблеми при договора за финансов лизинг.</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15. Комисионен договор – понятие, </w:t>
              </w:r>
              <w:proofErr w:type="spellStart"/>
              <w:r w:rsidRPr="007B629F">
                <w:rPr>
                  <w:rFonts w:eastAsia="Calibri" w:cs="Times New Roman"/>
                  <w:szCs w:val="24"/>
                  <w:lang w:val="bg-BG"/>
                </w:rPr>
                <w:t>отграничения</w:t>
              </w:r>
              <w:proofErr w:type="spellEnd"/>
              <w:r w:rsidRPr="007B629F">
                <w:rPr>
                  <w:rFonts w:eastAsia="Calibri" w:cs="Times New Roman"/>
                  <w:szCs w:val="24"/>
                  <w:lang w:val="bg-BG"/>
                </w:rPr>
                <w:t xml:space="preserve"> от близки договорни типове. Видове.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16. Задължения на страните. Прекратяване на договора.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17. Договор за превоз – понятие, правна уредба, видове. Превозни документи.</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18. Задължения на страните. Отговорност на превозвача.</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19. </w:t>
              </w:r>
              <w:proofErr w:type="spellStart"/>
              <w:r w:rsidRPr="007B629F">
                <w:rPr>
                  <w:rFonts w:eastAsia="Calibri" w:cs="Times New Roman"/>
                  <w:szCs w:val="24"/>
                  <w:lang w:val="bg-BG"/>
                </w:rPr>
                <w:t>Спедиционен</w:t>
              </w:r>
              <w:proofErr w:type="spellEnd"/>
              <w:r w:rsidRPr="007B629F">
                <w:rPr>
                  <w:rFonts w:eastAsia="Calibri" w:cs="Times New Roman"/>
                  <w:szCs w:val="24"/>
                  <w:lang w:val="bg-BG"/>
                </w:rPr>
                <w:t xml:space="preserve"> договор -  понятие, особености от комисионния договор. </w:t>
              </w:r>
              <w:proofErr w:type="spellStart"/>
              <w:r w:rsidRPr="007B629F">
                <w:rPr>
                  <w:rFonts w:eastAsia="Calibri" w:cs="Times New Roman"/>
                  <w:szCs w:val="24"/>
                  <w:lang w:val="bg-BG"/>
                </w:rPr>
                <w:t>Спедиционен</w:t>
              </w:r>
              <w:proofErr w:type="spellEnd"/>
              <w:r w:rsidRPr="007B629F">
                <w:rPr>
                  <w:rFonts w:eastAsia="Calibri" w:cs="Times New Roman"/>
                  <w:szCs w:val="24"/>
                  <w:lang w:val="bg-BG"/>
                </w:rPr>
                <w:t xml:space="preserve"> договор и </w:t>
              </w:r>
              <w:proofErr w:type="spellStart"/>
              <w:r w:rsidRPr="007B629F">
                <w:rPr>
                  <w:rFonts w:eastAsia="Calibri" w:cs="Times New Roman"/>
                  <w:szCs w:val="24"/>
                  <w:lang w:val="bg-BG"/>
                </w:rPr>
                <w:t>спедиционна</w:t>
              </w:r>
              <w:proofErr w:type="spellEnd"/>
              <w:r w:rsidRPr="007B629F">
                <w:rPr>
                  <w:rFonts w:eastAsia="Calibri" w:cs="Times New Roman"/>
                  <w:szCs w:val="24"/>
                  <w:lang w:val="bg-BG"/>
                </w:rPr>
                <w:t xml:space="preserve"> дейност. Задължения на страните. Договорна отговорност на страните.</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20. Застраховки: Застраховането като стопанска дейност. Застрахователно право – понятие, правна уредба. Застрахователни термини. Видове застраховане.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21. Застрахователен договор – обща характеристика, сключван</w:t>
              </w:r>
              <w:bookmarkStart w:id="0" w:name="_GoBack"/>
              <w:bookmarkEnd w:id="0"/>
              <w:r w:rsidRPr="007B629F">
                <w:rPr>
                  <w:rFonts w:eastAsia="Calibri" w:cs="Times New Roman"/>
                  <w:szCs w:val="24"/>
                  <w:lang w:val="bg-BG"/>
                </w:rPr>
                <w:t xml:space="preserve">е. Задължения на страните.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22. Имуществено застраховане – особености. Сключване на договора. Задължения на страните.</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23. Застраховка "Гражданска отговорност".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24. Лични застраховки "Живот" и "Злополука" – особености. </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25. Договор за текуща сметка.</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 xml:space="preserve">26. </w:t>
              </w:r>
              <w:bookmarkStart w:id="1" w:name="_Hlk94431097"/>
              <w:r w:rsidRPr="007B629F">
                <w:rPr>
                  <w:rFonts w:eastAsia="Calibri" w:cs="Times New Roman"/>
                  <w:szCs w:val="24"/>
                  <w:lang w:val="bg-BG"/>
                </w:rPr>
                <w:t>Банкови сделки: Понятие, правна уредба, видове</w:t>
              </w:r>
              <w:r w:rsidRPr="007B629F">
                <w:rPr>
                  <w:rFonts w:eastAsia="Calibri" w:cs="Times New Roman"/>
                  <w:b/>
                  <w:bCs/>
                  <w:szCs w:val="24"/>
                  <w:lang w:val="bg-BG"/>
                </w:rPr>
                <w:t xml:space="preserve">. </w:t>
              </w:r>
              <w:r w:rsidRPr="007B629F">
                <w:rPr>
                  <w:rFonts w:eastAsia="Calibri" w:cs="Times New Roman"/>
                  <w:szCs w:val="24"/>
                  <w:lang w:val="bg-BG"/>
                </w:rPr>
                <w:t>Договор за банков влог - обикновен влог, паричен влог, влог за управление на ценни книжа.</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27. Договор за банков кредит.</w:t>
              </w:r>
              <w:r w:rsidRPr="007B629F">
                <w:rPr>
                  <w:rFonts w:eastAsia="Calibri" w:cs="Times New Roman"/>
                  <w:color w:val="00B050"/>
                  <w:szCs w:val="24"/>
                  <w:lang w:val="bg-BG"/>
                </w:rPr>
                <w:t xml:space="preserve"> </w:t>
              </w:r>
              <w:r w:rsidRPr="007B629F">
                <w:rPr>
                  <w:rFonts w:eastAsia="Calibri" w:cs="Times New Roman"/>
                  <w:szCs w:val="24"/>
                  <w:lang w:val="bg-BG"/>
                </w:rPr>
                <w:t>Договор за наем на сейф.</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28. Акредитив – понятие, отношения във връзка с издаването на акредитива, видове, погасяване. </w:t>
              </w:r>
            </w:p>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29. Договор за инкасо – понятие, видове, сключване, изпълнение. Банкова гаранция – понятие, съпоставка с договора за поръчителство, съдържание.</w:t>
              </w:r>
            </w:p>
            <w:bookmarkEnd w:id="1"/>
            <w:p w:rsidR="007B629F" w:rsidRPr="007B629F" w:rsidRDefault="007B629F" w:rsidP="007B629F">
              <w:pPr>
                <w:spacing w:after="0" w:line="360" w:lineRule="auto"/>
                <w:jc w:val="both"/>
                <w:rPr>
                  <w:rFonts w:eastAsia="Calibri" w:cs="Times New Roman"/>
                  <w:szCs w:val="24"/>
                  <w:lang w:val="ru-RU"/>
                </w:rPr>
              </w:pPr>
              <w:r w:rsidRPr="007B629F">
                <w:rPr>
                  <w:rFonts w:eastAsia="Calibri" w:cs="Times New Roman"/>
                  <w:szCs w:val="24"/>
                  <w:lang w:val="bg-BG"/>
                </w:rPr>
                <w:t>30. Борси и борсови сделки – понятие и видове.</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31. Договор за влог в публичен склад.</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lastRenderedPageBreak/>
                <w:t xml:space="preserve">32. Ценни книги: Понятие, </w:t>
              </w:r>
              <w:proofErr w:type="spellStart"/>
              <w:r w:rsidRPr="007B629F">
                <w:rPr>
                  <w:rFonts w:eastAsia="Calibri" w:cs="Times New Roman"/>
                  <w:szCs w:val="24"/>
                  <w:lang w:val="bg-BG"/>
                </w:rPr>
                <w:t>отграничение</w:t>
              </w:r>
              <w:proofErr w:type="spellEnd"/>
              <w:r w:rsidRPr="007B629F">
                <w:rPr>
                  <w:rFonts w:eastAsia="Calibri" w:cs="Times New Roman"/>
                  <w:szCs w:val="24"/>
                  <w:lang w:val="bg-BG"/>
                </w:rPr>
                <w:t xml:space="preserve"> от вещите и правата. Правни функции и значение на ценните книги.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33. Видове ценни книги – критерии, значение на съответното деление.</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34. Прехвърляне на ценни книги.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35. Обезсилване на ценни книги.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36. Менителница – понятие, функции, видове, издаване.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37. Прехвърляне на менителница.</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38. Предявяване. Приемане. Последици от приемането и </w:t>
              </w:r>
              <w:proofErr w:type="spellStart"/>
              <w:r w:rsidRPr="007B629F">
                <w:rPr>
                  <w:rFonts w:eastAsia="Calibri" w:cs="Times New Roman"/>
                  <w:szCs w:val="24"/>
                  <w:lang w:val="bg-BG"/>
                </w:rPr>
                <w:t>неприемането</w:t>
              </w:r>
              <w:proofErr w:type="spellEnd"/>
              <w:r w:rsidRPr="007B629F">
                <w:rPr>
                  <w:rFonts w:eastAsia="Calibri" w:cs="Times New Roman"/>
                  <w:szCs w:val="24"/>
                  <w:lang w:val="bg-BG"/>
                </w:rPr>
                <w:t xml:space="preserve"> на менителница.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39. Плащане. Последици при </w:t>
              </w:r>
              <w:proofErr w:type="spellStart"/>
              <w:r w:rsidRPr="007B629F">
                <w:rPr>
                  <w:rFonts w:eastAsia="Calibri" w:cs="Times New Roman"/>
                  <w:szCs w:val="24"/>
                  <w:lang w:val="bg-BG"/>
                </w:rPr>
                <w:t>неплащане</w:t>
              </w:r>
              <w:proofErr w:type="spellEnd"/>
              <w:r w:rsidRPr="007B629F">
                <w:rPr>
                  <w:rFonts w:eastAsia="Calibri" w:cs="Times New Roman"/>
                  <w:szCs w:val="24"/>
                  <w:lang w:val="bg-BG"/>
                </w:rPr>
                <w:t xml:space="preserve">.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40. </w:t>
              </w:r>
              <w:proofErr w:type="spellStart"/>
              <w:r w:rsidRPr="007B629F">
                <w:rPr>
                  <w:rFonts w:eastAsia="Calibri" w:cs="Times New Roman"/>
                  <w:szCs w:val="24"/>
                  <w:lang w:val="bg-BG"/>
                </w:rPr>
                <w:t>Менителнично</w:t>
              </w:r>
              <w:proofErr w:type="spellEnd"/>
              <w:r w:rsidRPr="007B629F">
                <w:rPr>
                  <w:rFonts w:eastAsia="Calibri" w:cs="Times New Roman"/>
                  <w:szCs w:val="24"/>
                  <w:lang w:val="bg-BG"/>
                </w:rPr>
                <w:t xml:space="preserve"> поръчителство. </w:t>
              </w:r>
              <w:proofErr w:type="spellStart"/>
              <w:r w:rsidRPr="007B629F">
                <w:rPr>
                  <w:rFonts w:eastAsia="Calibri" w:cs="Times New Roman"/>
                  <w:szCs w:val="24"/>
                  <w:lang w:val="bg-BG"/>
                </w:rPr>
                <w:t>Менителнични</w:t>
              </w:r>
              <w:proofErr w:type="spellEnd"/>
              <w:r w:rsidRPr="007B629F">
                <w:rPr>
                  <w:rFonts w:eastAsia="Calibri" w:cs="Times New Roman"/>
                  <w:szCs w:val="24"/>
                  <w:lang w:val="bg-BG"/>
                </w:rPr>
                <w:t xml:space="preserve"> искове. </w:t>
              </w:r>
              <w:proofErr w:type="spellStart"/>
              <w:r w:rsidRPr="007B629F">
                <w:rPr>
                  <w:rFonts w:eastAsia="Calibri" w:cs="Times New Roman"/>
                  <w:szCs w:val="24"/>
                  <w:lang w:val="bg-BG"/>
                </w:rPr>
                <w:t>Менителнична</w:t>
              </w:r>
              <w:proofErr w:type="spellEnd"/>
              <w:r w:rsidRPr="007B629F">
                <w:rPr>
                  <w:rFonts w:eastAsia="Calibri" w:cs="Times New Roman"/>
                  <w:szCs w:val="24"/>
                  <w:lang w:val="bg-BG"/>
                </w:rPr>
                <w:t xml:space="preserve"> давност.</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 xml:space="preserve">41. Запис на заповед. Чек. </w:t>
              </w:r>
            </w:p>
            <w:p w:rsidR="007B629F" w:rsidRPr="007B629F" w:rsidRDefault="007B629F" w:rsidP="007B629F">
              <w:pPr>
                <w:spacing w:after="0" w:line="360" w:lineRule="auto"/>
                <w:jc w:val="both"/>
                <w:rPr>
                  <w:rFonts w:eastAsia="Calibri" w:cs="Times New Roman"/>
                  <w:szCs w:val="24"/>
                  <w:lang w:val="bg-BG"/>
                </w:rPr>
              </w:pPr>
              <w:r w:rsidRPr="007B629F">
                <w:rPr>
                  <w:rFonts w:eastAsia="Calibri" w:cs="Times New Roman"/>
                  <w:szCs w:val="24"/>
                  <w:lang w:val="bg-BG"/>
                </w:rPr>
                <w:t>42. Конкурентно право – основни понятия. Картели. Злоупотреба с монополно и господстващо положение. Концентрации.</w:t>
              </w:r>
            </w:p>
            <w:p w:rsidR="007B629F" w:rsidRPr="007B629F" w:rsidRDefault="007B629F" w:rsidP="007B629F">
              <w:pPr>
                <w:spacing w:after="0" w:line="360" w:lineRule="auto"/>
                <w:jc w:val="both"/>
                <w:rPr>
                  <w:rFonts w:ascii="Arial" w:eastAsia="Times New Roman" w:hAnsi="Arial" w:cs="Arial"/>
                  <w:szCs w:val="24"/>
                  <w:lang w:val="bg-BG"/>
                </w:rPr>
              </w:pPr>
              <w:r w:rsidRPr="007B629F">
                <w:rPr>
                  <w:rFonts w:eastAsia="Calibri" w:cs="Times New Roman"/>
                  <w:szCs w:val="24"/>
                  <w:lang w:val="bg-BG"/>
                </w:rPr>
                <w:t>43. Нелоялна конкуренция – понятие и състави.</w:t>
              </w:r>
            </w:p>
            <w:p w:rsidR="00DA6080" w:rsidRPr="00332A0B" w:rsidRDefault="00E85087"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7B629F" w:rsidRPr="007B629F" w:rsidRDefault="007B629F" w:rsidP="007B629F">
              <w:pPr>
                <w:spacing w:before="120"/>
                <w:ind w:left="227"/>
                <w:rPr>
                  <w:rFonts w:eastAsia="Calibri" w:cs="Times New Roman"/>
                  <w:szCs w:val="24"/>
                  <w:lang w:val="bg-BG"/>
                </w:rPr>
              </w:pPr>
              <w:r w:rsidRPr="007B629F">
                <w:rPr>
                  <w:rFonts w:eastAsia="Calibri" w:cs="Times New Roman"/>
                  <w:szCs w:val="24"/>
                  <w:lang w:val="bg-BG"/>
                </w:rPr>
                <w:t xml:space="preserve">Голева, П. Търговско право. </w:t>
              </w:r>
              <w:r w:rsidRPr="007B629F">
                <w:rPr>
                  <w:rFonts w:eastAsia="Calibri" w:cs="Times New Roman"/>
                  <w:color w:val="0D0D0D"/>
                  <w:szCs w:val="24"/>
                  <w:lang w:val="bg-BG"/>
                </w:rPr>
                <w:t>Търговски сделки с акцент върху КЗ от 2016. С., 2018</w:t>
              </w:r>
              <w:r w:rsidRPr="007B629F">
                <w:rPr>
                  <w:rFonts w:eastAsia="Calibri" w:cs="Times New Roman"/>
                  <w:color w:val="FF0000"/>
                  <w:szCs w:val="24"/>
                  <w:lang w:val="bg-BG"/>
                </w:rPr>
                <w:t>.</w:t>
              </w:r>
            </w:p>
            <w:p w:rsidR="007B629F" w:rsidRPr="007B629F" w:rsidRDefault="007B629F" w:rsidP="007B629F">
              <w:pPr>
                <w:spacing w:before="120" w:after="0" w:line="240" w:lineRule="auto"/>
                <w:ind w:left="227"/>
                <w:contextualSpacing w:val="0"/>
                <w:rPr>
                  <w:rFonts w:eastAsia="Calibri" w:cs="Times New Roman"/>
                  <w:color w:val="FF0000"/>
                  <w:szCs w:val="24"/>
                  <w:lang w:val="bg-BG"/>
                </w:rPr>
              </w:pPr>
              <w:r w:rsidRPr="007B629F">
                <w:rPr>
                  <w:rFonts w:eastAsia="Calibri" w:cs="Times New Roman"/>
                  <w:szCs w:val="24"/>
                  <w:lang w:val="bg-BG"/>
                </w:rPr>
                <w:t>Герджиков, О. Търговски сделки</w:t>
              </w:r>
              <w:r w:rsidRPr="007B629F">
                <w:rPr>
                  <w:rFonts w:eastAsia="Calibri" w:cs="Times New Roman"/>
                  <w:color w:val="0D0D0D"/>
                  <w:szCs w:val="24"/>
                  <w:lang w:val="bg-BG"/>
                </w:rPr>
                <w:t xml:space="preserve">. Четвърто </w:t>
              </w:r>
              <w:proofErr w:type="spellStart"/>
              <w:r w:rsidRPr="007B629F">
                <w:rPr>
                  <w:rFonts w:eastAsia="Calibri" w:cs="Times New Roman"/>
                  <w:color w:val="0D0D0D"/>
                  <w:szCs w:val="24"/>
                  <w:lang w:val="bg-BG"/>
                </w:rPr>
                <w:t>прер</w:t>
              </w:r>
              <w:proofErr w:type="spellEnd"/>
              <w:r w:rsidRPr="007B629F">
                <w:rPr>
                  <w:rFonts w:eastAsia="Calibri" w:cs="Times New Roman"/>
                  <w:color w:val="0D0D0D"/>
                  <w:szCs w:val="24"/>
                  <w:lang w:val="bg-BG"/>
                </w:rPr>
                <w:t>. и доп. изд. С., 2015</w:t>
              </w:r>
              <w:r w:rsidRPr="007B629F">
                <w:rPr>
                  <w:rFonts w:eastAsia="Calibri" w:cs="Times New Roman"/>
                  <w:color w:val="FF0000"/>
                  <w:szCs w:val="24"/>
                  <w:lang w:val="bg-BG"/>
                </w:rPr>
                <w:t>.</w:t>
              </w:r>
            </w:p>
            <w:p w:rsidR="007B629F" w:rsidRPr="007B629F" w:rsidRDefault="007B629F" w:rsidP="007B629F">
              <w:pPr>
                <w:spacing w:before="120" w:after="0" w:line="240" w:lineRule="auto"/>
                <w:ind w:left="227"/>
                <w:contextualSpacing w:val="0"/>
                <w:rPr>
                  <w:rFonts w:eastAsia="Calibri" w:cs="Times New Roman"/>
                  <w:color w:val="0D0D0D"/>
                  <w:szCs w:val="24"/>
                  <w:lang w:val="bg-BG"/>
                </w:rPr>
              </w:pPr>
              <w:r w:rsidRPr="007B629F">
                <w:rPr>
                  <w:rFonts w:eastAsia="Calibri" w:cs="Times New Roman"/>
                  <w:color w:val="0D0D0D"/>
                  <w:szCs w:val="24"/>
                  <w:lang w:val="bg-BG"/>
                </w:rPr>
                <w:t>Кацаров, К. Систематичен курс по българско търговско право. Четвърто фототипно изд. С., 1990.</w:t>
              </w:r>
            </w:p>
            <w:p w:rsidR="007B629F" w:rsidRPr="007B629F" w:rsidRDefault="007B629F" w:rsidP="007B629F">
              <w:pPr>
                <w:spacing w:before="120" w:after="0" w:line="240" w:lineRule="auto"/>
                <w:ind w:left="227"/>
                <w:contextualSpacing w:val="0"/>
                <w:rPr>
                  <w:rFonts w:eastAsia="Calibri" w:cs="Times New Roman"/>
                  <w:color w:val="0D0D0D"/>
                  <w:szCs w:val="24"/>
                  <w:lang w:val="bg-BG"/>
                </w:rPr>
              </w:pPr>
              <w:r w:rsidRPr="007B629F">
                <w:rPr>
                  <w:rFonts w:eastAsia="Calibri" w:cs="Times New Roman"/>
                  <w:color w:val="0D0D0D"/>
                  <w:szCs w:val="24"/>
                  <w:lang w:val="bg-BG"/>
                </w:rPr>
                <w:t>Диков, Л. Курс по търговско право. Том ІІ. С.,1992.</w:t>
              </w:r>
            </w:p>
            <w:p w:rsidR="007B629F" w:rsidRPr="007B629F" w:rsidRDefault="007B629F" w:rsidP="007B629F">
              <w:pPr>
                <w:spacing w:before="120" w:after="0" w:line="240" w:lineRule="auto"/>
                <w:ind w:left="227"/>
                <w:contextualSpacing w:val="0"/>
                <w:rPr>
                  <w:rFonts w:eastAsia="Calibri" w:cs="Times New Roman"/>
                  <w:szCs w:val="24"/>
                  <w:lang w:val="bg-BG"/>
                </w:rPr>
              </w:pPr>
              <w:proofErr w:type="spellStart"/>
              <w:r w:rsidRPr="007B629F">
                <w:rPr>
                  <w:rFonts w:eastAsia="Calibri" w:cs="Times New Roman"/>
                  <w:szCs w:val="24"/>
                  <w:lang w:val="bg-BG"/>
                </w:rPr>
                <w:t>Балди</w:t>
              </w:r>
              <w:proofErr w:type="spellEnd"/>
              <w:r w:rsidRPr="007B629F">
                <w:rPr>
                  <w:rFonts w:eastAsia="Calibri" w:cs="Times New Roman"/>
                  <w:szCs w:val="24"/>
                  <w:lang w:val="bg-BG"/>
                </w:rPr>
                <w:t>, Р. Дистрибуторство. Фр</w:t>
              </w:r>
              <w:r w:rsidRPr="007B629F">
                <w:rPr>
                  <w:rFonts w:eastAsia="Calibri" w:cs="Times New Roman"/>
                  <w:color w:val="0D0D0D"/>
                  <w:szCs w:val="24"/>
                  <w:lang w:val="bg-BG"/>
                </w:rPr>
                <w:t>а</w:t>
              </w:r>
              <w:r w:rsidRPr="007B629F">
                <w:rPr>
                  <w:rFonts w:eastAsia="Calibri" w:cs="Times New Roman"/>
                  <w:szCs w:val="24"/>
                  <w:lang w:val="bg-BG"/>
                </w:rPr>
                <w:t xml:space="preserve">нчайзинг. Представителство. С., 1993. </w:t>
              </w:r>
            </w:p>
            <w:p w:rsidR="007B629F" w:rsidRPr="007B629F" w:rsidRDefault="007B629F" w:rsidP="007B629F">
              <w:pPr>
                <w:spacing w:before="120" w:after="0" w:line="240" w:lineRule="auto"/>
                <w:ind w:left="227"/>
                <w:contextualSpacing w:val="0"/>
                <w:rPr>
                  <w:rFonts w:eastAsia="Calibri" w:cs="Times New Roman"/>
                  <w:color w:val="0D0D0D"/>
                  <w:szCs w:val="24"/>
                  <w:lang w:val="bg-BG"/>
                </w:rPr>
              </w:pPr>
              <w:proofErr w:type="spellStart"/>
              <w:r w:rsidRPr="007B629F">
                <w:rPr>
                  <w:rFonts w:eastAsia="Calibri" w:cs="Times New Roman"/>
                  <w:color w:val="0D0D0D"/>
                  <w:szCs w:val="24"/>
                  <w:lang w:val="bg-BG"/>
                </w:rPr>
                <w:t>Джидров</w:t>
              </w:r>
              <w:proofErr w:type="spellEnd"/>
              <w:r w:rsidRPr="007B629F">
                <w:rPr>
                  <w:rFonts w:eastAsia="Calibri" w:cs="Times New Roman"/>
                  <w:color w:val="0D0D0D"/>
                  <w:szCs w:val="24"/>
                  <w:lang w:val="bg-BG"/>
                </w:rPr>
                <w:t>, П. Коментар на Търговския закон. Том 1-4. С., 1993-1994.</w:t>
              </w:r>
            </w:p>
            <w:p w:rsidR="007B629F" w:rsidRPr="007B629F" w:rsidRDefault="007B629F" w:rsidP="007B629F">
              <w:pPr>
                <w:spacing w:before="120" w:after="0" w:line="240" w:lineRule="auto"/>
                <w:ind w:left="227"/>
                <w:contextualSpacing w:val="0"/>
                <w:rPr>
                  <w:rFonts w:eastAsia="Calibri" w:cs="Times New Roman"/>
                  <w:color w:val="FF0000"/>
                  <w:szCs w:val="24"/>
                  <w:lang w:val="bg-BG"/>
                </w:rPr>
              </w:pPr>
              <w:r w:rsidRPr="007B629F">
                <w:rPr>
                  <w:rFonts w:eastAsia="Calibri" w:cs="Times New Roman"/>
                  <w:color w:val="0D0D0D"/>
                  <w:szCs w:val="24"/>
                  <w:lang w:val="bg-BG"/>
                </w:rPr>
                <w:t xml:space="preserve">Пиперкова, Л. Франчайзинг. Лизинг. </w:t>
              </w:r>
              <w:proofErr w:type="spellStart"/>
              <w:r w:rsidRPr="007B629F">
                <w:rPr>
                  <w:rFonts w:eastAsia="Calibri" w:cs="Times New Roman"/>
                  <w:color w:val="0D0D0D"/>
                  <w:szCs w:val="24"/>
                  <w:lang w:val="bg-BG"/>
                </w:rPr>
                <w:t>Факторинг</w:t>
              </w:r>
              <w:proofErr w:type="spellEnd"/>
              <w:r w:rsidRPr="007B629F">
                <w:rPr>
                  <w:rFonts w:eastAsia="Calibri" w:cs="Times New Roman"/>
                  <w:color w:val="0D0D0D"/>
                  <w:szCs w:val="24"/>
                  <w:lang w:val="bg-BG"/>
                </w:rPr>
                <w:t>. С., 1995</w:t>
              </w:r>
              <w:r w:rsidRPr="007B629F">
                <w:rPr>
                  <w:rFonts w:eastAsia="Calibri" w:cs="Times New Roman"/>
                  <w:color w:val="FF0000"/>
                  <w:szCs w:val="24"/>
                  <w:lang w:val="bg-BG"/>
                </w:rPr>
                <w:t>.</w:t>
              </w:r>
            </w:p>
            <w:p w:rsidR="007B629F" w:rsidRPr="007B629F" w:rsidRDefault="007B629F" w:rsidP="007B629F">
              <w:pPr>
                <w:spacing w:before="120" w:after="0" w:line="240" w:lineRule="auto"/>
                <w:ind w:left="227"/>
                <w:contextualSpacing w:val="0"/>
                <w:rPr>
                  <w:rFonts w:eastAsia="Calibri" w:cs="Times New Roman"/>
                  <w:color w:val="0D0D0D"/>
                  <w:szCs w:val="24"/>
                  <w:lang w:val="bg-BG"/>
                </w:rPr>
              </w:pPr>
              <w:r w:rsidRPr="007B629F">
                <w:rPr>
                  <w:rFonts w:eastAsia="Calibri" w:cs="Times New Roman"/>
                  <w:color w:val="0D0D0D"/>
                  <w:szCs w:val="24"/>
                  <w:lang w:val="bg-BG"/>
                </w:rPr>
                <w:t>Найденов, Б. Лизингът – финансов и правен аспект. 1995 г.</w:t>
              </w:r>
            </w:p>
            <w:p w:rsidR="007B629F" w:rsidRPr="007B629F" w:rsidRDefault="007B629F" w:rsidP="007B629F">
              <w:pPr>
                <w:spacing w:before="120" w:after="0" w:line="240" w:lineRule="auto"/>
                <w:ind w:left="227"/>
                <w:contextualSpacing w:val="0"/>
                <w:rPr>
                  <w:rFonts w:eastAsia="Calibri" w:cs="Times New Roman"/>
                  <w:color w:val="0D0D0D"/>
                  <w:szCs w:val="24"/>
                  <w:lang w:val="bg-BG"/>
                </w:rPr>
              </w:pPr>
              <w:r w:rsidRPr="007B629F">
                <w:rPr>
                  <w:rFonts w:eastAsia="Calibri" w:cs="Times New Roman"/>
                  <w:color w:val="0D0D0D"/>
                  <w:szCs w:val="24"/>
                  <w:lang w:val="bg-BG"/>
                </w:rPr>
                <w:t>Павлова, М. Записът на заповед и менителницата. С., 1998.</w:t>
              </w:r>
            </w:p>
            <w:p w:rsidR="007B629F" w:rsidRPr="007B629F" w:rsidRDefault="007B629F" w:rsidP="007B629F">
              <w:pPr>
                <w:spacing w:before="120" w:after="0" w:line="240" w:lineRule="auto"/>
                <w:ind w:left="227"/>
                <w:contextualSpacing w:val="0"/>
                <w:rPr>
                  <w:rFonts w:eastAsia="Calibri" w:cs="Times New Roman"/>
                  <w:color w:val="0D0D0D"/>
                  <w:szCs w:val="24"/>
                  <w:lang w:val="bg-BG"/>
                </w:rPr>
              </w:pPr>
              <w:r w:rsidRPr="007B629F">
                <w:rPr>
                  <w:rFonts w:eastAsia="Calibri" w:cs="Times New Roman"/>
                  <w:color w:val="0D0D0D"/>
                  <w:szCs w:val="24"/>
                  <w:lang w:val="bg-BG"/>
                </w:rPr>
                <w:t xml:space="preserve">Продажбата на търговско предприятие. Гражданко- и </w:t>
              </w:r>
              <w:proofErr w:type="spellStart"/>
              <w:r w:rsidRPr="007B629F">
                <w:rPr>
                  <w:rFonts w:eastAsia="Calibri" w:cs="Times New Roman"/>
                  <w:color w:val="0D0D0D"/>
                  <w:szCs w:val="24"/>
                  <w:lang w:val="bg-BG"/>
                </w:rPr>
                <w:t>търговскоправни</w:t>
              </w:r>
              <w:proofErr w:type="spellEnd"/>
              <w:r w:rsidRPr="007B629F">
                <w:rPr>
                  <w:rFonts w:eastAsia="Calibri" w:cs="Times New Roman"/>
                  <w:color w:val="0D0D0D"/>
                  <w:szCs w:val="24"/>
                  <w:lang w:val="bg-BG"/>
                </w:rPr>
                <w:t xml:space="preserve"> аспекти (съставители </w:t>
              </w:r>
              <w:proofErr w:type="spellStart"/>
              <w:r w:rsidRPr="007B629F">
                <w:rPr>
                  <w:rFonts w:eastAsia="Calibri" w:cs="Times New Roman"/>
                  <w:color w:val="0D0D0D"/>
                  <w:szCs w:val="24"/>
                  <w:lang w:val="bg-BG"/>
                </w:rPr>
                <w:t>М.Пашке</w:t>
              </w:r>
              <w:proofErr w:type="spellEnd"/>
              <w:r w:rsidRPr="007B629F">
                <w:rPr>
                  <w:rFonts w:eastAsia="Calibri" w:cs="Times New Roman"/>
                  <w:color w:val="0D0D0D"/>
                  <w:szCs w:val="24"/>
                  <w:lang w:val="bg-BG"/>
                </w:rPr>
                <w:t xml:space="preserve"> и </w:t>
              </w:r>
              <w:proofErr w:type="spellStart"/>
              <w:r w:rsidRPr="007B629F">
                <w:rPr>
                  <w:rFonts w:eastAsia="Calibri" w:cs="Times New Roman"/>
                  <w:color w:val="0D0D0D"/>
                  <w:szCs w:val="24"/>
                  <w:lang w:val="bg-BG"/>
                </w:rPr>
                <w:t>В.Павлова</w:t>
              </w:r>
              <w:proofErr w:type="spellEnd"/>
              <w:r w:rsidRPr="007B629F">
                <w:rPr>
                  <w:rFonts w:eastAsia="Calibri" w:cs="Times New Roman"/>
                  <w:color w:val="0D0D0D"/>
                  <w:szCs w:val="24"/>
                  <w:lang w:val="bg-BG"/>
                </w:rPr>
                <w:t>) С., 2004.</w:t>
              </w:r>
            </w:p>
            <w:p w:rsidR="007B629F" w:rsidRPr="007B629F" w:rsidRDefault="007B629F" w:rsidP="007B629F">
              <w:pPr>
                <w:spacing w:before="120" w:after="0" w:line="240" w:lineRule="auto"/>
                <w:ind w:left="227"/>
                <w:contextualSpacing w:val="0"/>
                <w:rPr>
                  <w:rFonts w:eastAsia="Calibri" w:cs="Times New Roman"/>
                  <w:szCs w:val="24"/>
                  <w:lang w:val="bg-BG"/>
                </w:rPr>
              </w:pPr>
              <w:r w:rsidRPr="007B629F">
                <w:rPr>
                  <w:rFonts w:eastAsia="Calibri" w:cs="Times New Roman"/>
                  <w:szCs w:val="24"/>
                  <w:lang w:val="bg-BG"/>
                </w:rPr>
                <w:t>Йосифова, Т. Комисионният договор. С., 2006.</w:t>
              </w:r>
            </w:p>
            <w:p w:rsidR="007B629F" w:rsidRPr="007B629F" w:rsidRDefault="007B629F" w:rsidP="007B629F">
              <w:pPr>
                <w:spacing w:before="120" w:after="0" w:line="240" w:lineRule="auto"/>
                <w:ind w:left="227"/>
                <w:contextualSpacing w:val="0"/>
                <w:jc w:val="both"/>
                <w:rPr>
                  <w:rFonts w:eastAsia="Calibri" w:cs="Times New Roman"/>
                  <w:szCs w:val="24"/>
                  <w:lang w:val="bg-BG"/>
                </w:rPr>
              </w:pPr>
              <w:proofErr w:type="spellStart"/>
              <w:r w:rsidRPr="007B629F">
                <w:rPr>
                  <w:rFonts w:eastAsia="Calibri" w:cs="Times New Roman"/>
                  <w:szCs w:val="24"/>
                  <w:lang w:val="bg-BG"/>
                </w:rPr>
                <w:t>Ланджев</w:t>
              </w:r>
              <w:proofErr w:type="spellEnd"/>
              <w:r w:rsidRPr="007B629F">
                <w:rPr>
                  <w:rFonts w:eastAsia="Calibri" w:cs="Times New Roman"/>
                  <w:szCs w:val="24"/>
                  <w:lang w:val="bg-BG"/>
                </w:rPr>
                <w:t>, Б. Търговско право. С., 2009.</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proofErr w:type="spellStart"/>
              <w:r w:rsidRPr="007B629F">
                <w:rPr>
                  <w:rFonts w:eastAsia="Calibri" w:cs="Times New Roman"/>
                  <w:color w:val="0D0D0D"/>
                  <w:szCs w:val="24"/>
                  <w:lang w:val="bg-BG"/>
                </w:rPr>
                <w:t>Ланджев</w:t>
              </w:r>
              <w:proofErr w:type="spellEnd"/>
              <w:r w:rsidRPr="007B629F">
                <w:rPr>
                  <w:rFonts w:eastAsia="Calibri" w:cs="Times New Roman"/>
                  <w:color w:val="0D0D0D"/>
                  <w:szCs w:val="24"/>
                  <w:lang w:val="bg-BG"/>
                </w:rPr>
                <w:t>, Б. Правни проблеми на финансовото инвестиране. Борсово право. С., 2014.</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t xml:space="preserve">Касабова, К., Банково право, Актуални проблеми на практиката. СОФИ-Р., С. 2014. </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lastRenderedPageBreak/>
                <w:t xml:space="preserve">Колева, Ж. </w:t>
              </w:r>
              <w:proofErr w:type="spellStart"/>
              <w:r w:rsidRPr="007B629F">
                <w:rPr>
                  <w:rFonts w:eastAsia="Calibri" w:cs="Times New Roman"/>
                  <w:color w:val="0D0D0D"/>
                  <w:szCs w:val="24"/>
                  <w:lang w:val="bg-BG"/>
                </w:rPr>
                <w:t>Спедиционният</w:t>
              </w:r>
              <w:proofErr w:type="spellEnd"/>
              <w:r w:rsidRPr="007B629F">
                <w:rPr>
                  <w:rFonts w:eastAsia="Calibri" w:cs="Times New Roman"/>
                  <w:color w:val="0D0D0D"/>
                  <w:szCs w:val="24"/>
                  <w:lang w:val="bg-BG"/>
                </w:rPr>
                <w:t xml:space="preserve"> договор, С. 2017.</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t>Кьосева, М. Картелът в конкурентното право. Изд. Кинг. 2017.</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t xml:space="preserve">Славов, Д. Конкурентно право. С., 2017. </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t>Димитров, В. Борсово право. С., 2021.</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t xml:space="preserve">Димитров, В., Банково право. С. ИК - УНСС, 2021 г. </w:t>
              </w:r>
            </w:p>
            <w:p w:rsidR="007B629F" w:rsidRPr="007B629F" w:rsidRDefault="007B629F" w:rsidP="007B629F">
              <w:pPr>
                <w:spacing w:before="120" w:after="0" w:line="240" w:lineRule="auto"/>
                <w:ind w:left="227"/>
                <w:contextualSpacing w:val="0"/>
                <w:jc w:val="both"/>
                <w:rPr>
                  <w:rFonts w:eastAsia="Calibri" w:cs="Times New Roman"/>
                  <w:color w:val="0D0D0D"/>
                  <w:szCs w:val="24"/>
                  <w:lang w:val="bg-BG"/>
                </w:rPr>
              </w:pPr>
              <w:r w:rsidRPr="007B629F">
                <w:rPr>
                  <w:rFonts w:eastAsia="Calibri" w:cs="Times New Roman"/>
                  <w:color w:val="0D0D0D"/>
                  <w:szCs w:val="24"/>
                  <w:lang w:val="bg-BG"/>
                </w:rPr>
                <w:t>Колева, Ж. Търговско право. Казуси. Съдебна практика. С., 2019.</w:t>
              </w:r>
            </w:p>
            <w:p w:rsidR="007B629F" w:rsidRPr="007B629F" w:rsidRDefault="007B629F" w:rsidP="007B629F">
              <w:pPr>
                <w:spacing w:before="120" w:after="0" w:line="240" w:lineRule="auto"/>
                <w:ind w:left="227"/>
                <w:contextualSpacing w:val="0"/>
                <w:jc w:val="both"/>
                <w:rPr>
                  <w:rFonts w:eastAsia="Calibri" w:cs="Times New Roman"/>
                  <w:szCs w:val="24"/>
                  <w:lang w:val="bg-BG"/>
                </w:rPr>
              </w:pPr>
              <w:r w:rsidRPr="007B629F">
                <w:rPr>
                  <w:rFonts w:eastAsia="Calibri" w:cs="Times New Roman"/>
                  <w:szCs w:val="24"/>
                  <w:lang w:val="bg-BG"/>
                </w:rPr>
                <w:t xml:space="preserve">Съдебна практика. Търговско право. Коментар – проф. </w:t>
              </w:r>
              <w:proofErr w:type="spellStart"/>
              <w:r w:rsidRPr="007B629F">
                <w:rPr>
                  <w:rFonts w:eastAsia="Calibri" w:cs="Times New Roman"/>
                  <w:szCs w:val="24"/>
                  <w:lang w:val="bg-BG"/>
                </w:rPr>
                <w:t>О.Герджиков</w:t>
              </w:r>
              <w:proofErr w:type="spellEnd"/>
              <w:r w:rsidRPr="007B629F">
                <w:rPr>
                  <w:rFonts w:eastAsia="Calibri" w:cs="Times New Roman"/>
                  <w:szCs w:val="24"/>
                  <w:lang w:val="bg-BG"/>
                </w:rPr>
                <w:t>. С., 2000.</w:t>
              </w:r>
            </w:p>
            <w:p w:rsidR="007B629F" w:rsidRPr="007B629F" w:rsidRDefault="007B629F" w:rsidP="007B629F">
              <w:pPr>
                <w:spacing w:before="120" w:after="0" w:line="240" w:lineRule="auto"/>
                <w:ind w:left="227"/>
                <w:contextualSpacing w:val="0"/>
                <w:rPr>
                  <w:rFonts w:eastAsia="Calibri" w:cs="Times New Roman"/>
                  <w:color w:val="FF0000"/>
                  <w:szCs w:val="24"/>
                  <w:lang w:val="bg-BG"/>
                </w:rPr>
              </w:pPr>
              <w:proofErr w:type="spellStart"/>
              <w:r w:rsidRPr="007B629F">
                <w:rPr>
                  <w:rFonts w:eastAsia="Calibri" w:cs="Times New Roman"/>
                  <w:szCs w:val="24"/>
                  <w:lang w:val="bg-BG"/>
                </w:rPr>
                <w:t>Гражданское</w:t>
              </w:r>
              <w:proofErr w:type="spellEnd"/>
              <w:r w:rsidRPr="007B629F">
                <w:rPr>
                  <w:rFonts w:eastAsia="Calibri" w:cs="Times New Roman"/>
                  <w:szCs w:val="24"/>
                  <w:lang w:val="bg-BG"/>
                </w:rPr>
                <w:t xml:space="preserve"> и </w:t>
              </w:r>
              <w:proofErr w:type="spellStart"/>
              <w:r w:rsidRPr="007B629F">
                <w:rPr>
                  <w:rFonts w:eastAsia="Calibri" w:cs="Times New Roman"/>
                  <w:szCs w:val="24"/>
                  <w:lang w:val="bg-BG"/>
                </w:rPr>
                <w:t>торговое</w:t>
              </w:r>
              <w:proofErr w:type="spellEnd"/>
              <w:r w:rsidRPr="007B629F">
                <w:rPr>
                  <w:rFonts w:eastAsia="Calibri" w:cs="Times New Roman"/>
                  <w:szCs w:val="24"/>
                  <w:lang w:val="bg-BG"/>
                </w:rPr>
                <w:t xml:space="preserve"> право </w:t>
              </w:r>
              <w:proofErr w:type="spellStart"/>
              <w:r w:rsidRPr="007B629F">
                <w:rPr>
                  <w:rFonts w:eastAsia="Calibri" w:cs="Times New Roman"/>
                  <w:szCs w:val="24"/>
                  <w:lang w:val="bg-BG"/>
                </w:rPr>
                <w:t>зарубежньйх</w:t>
              </w:r>
              <w:proofErr w:type="spellEnd"/>
              <w:r w:rsidRPr="007B629F">
                <w:rPr>
                  <w:rFonts w:eastAsia="Calibri" w:cs="Times New Roman"/>
                  <w:szCs w:val="24"/>
                  <w:lang w:val="bg-BG"/>
                </w:rPr>
                <w:t xml:space="preserve"> </w:t>
              </w:r>
              <w:proofErr w:type="spellStart"/>
              <w:r w:rsidRPr="007B629F">
                <w:rPr>
                  <w:rFonts w:eastAsia="Calibri" w:cs="Times New Roman"/>
                  <w:szCs w:val="24"/>
                  <w:lang w:val="bg-BG"/>
                </w:rPr>
                <w:t>государств</w:t>
              </w:r>
              <w:proofErr w:type="spellEnd"/>
              <w:r w:rsidRPr="007B629F">
                <w:rPr>
                  <w:rFonts w:eastAsia="Calibri" w:cs="Times New Roman"/>
                  <w:szCs w:val="24"/>
                  <w:lang w:val="bg-BG"/>
                </w:rPr>
                <w:t>. Том І (</w:t>
              </w:r>
              <w:proofErr w:type="spellStart"/>
              <w:r w:rsidRPr="007B629F">
                <w:rPr>
                  <w:rFonts w:eastAsia="Calibri" w:cs="Times New Roman"/>
                  <w:szCs w:val="24"/>
                  <w:lang w:val="bg-BG"/>
                </w:rPr>
                <w:t>авт</w:t>
              </w:r>
              <w:proofErr w:type="spellEnd"/>
              <w:r w:rsidRPr="007B629F">
                <w:rPr>
                  <w:rFonts w:eastAsia="Calibri" w:cs="Times New Roman"/>
                  <w:szCs w:val="24"/>
                  <w:lang w:val="bg-BG"/>
                </w:rPr>
                <w:t xml:space="preserve">. кол. под ред. на </w:t>
              </w:r>
              <w:proofErr w:type="spellStart"/>
              <w:r w:rsidRPr="007B629F">
                <w:rPr>
                  <w:rFonts w:eastAsia="Calibri" w:cs="Times New Roman"/>
                  <w:szCs w:val="24"/>
                  <w:lang w:val="bg-BG"/>
                </w:rPr>
                <w:t>Е.А.Васильев</w:t>
              </w:r>
              <w:proofErr w:type="spellEnd"/>
              <w:r w:rsidRPr="007B629F">
                <w:rPr>
                  <w:rFonts w:eastAsia="Calibri" w:cs="Times New Roman"/>
                  <w:szCs w:val="24"/>
                  <w:lang w:val="bg-BG"/>
                </w:rPr>
                <w:t xml:space="preserve"> и </w:t>
              </w:r>
              <w:proofErr w:type="spellStart"/>
              <w:r w:rsidRPr="007B629F">
                <w:rPr>
                  <w:rFonts w:eastAsia="Calibri" w:cs="Times New Roman"/>
                  <w:szCs w:val="24"/>
                  <w:lang w:val="bg-BG"/>
                </w:rPr>
                <w:t>А.С.Комаров</w:t>
              </w:r>
              <w:proofErr w:type="spellEnd"/>
              <w:r w:rsidRPr="007B629F">
                <w:rPr>
                  <w:rFonts w:eastAsia="Calibri" w:cs="Times New Roman"/>
                  <w:szCs w:val="24"/>
                  <w:lang w:val="bg-BG"/>
                </w:rPr>
                <w:t xml:space="preserve">). М., 2006. </w:t>
              </w:r>
            </w:p>
            <w:p w:rsidR="007B629F" w:rsidRPr="007B629F" w:rsidRDefault="007B629F" w:rsidP="007B629F">
              <w:pPr>
                <w:spacing w:before="120" w:after="0" w:line="240" w:lineRule="auto"/>
                <w:ind w:left="227"/>
                <w:contextualSpacing w:val="0"/>
                <w:jc w:val="both"/>
                <w:rPr>
                  <w:rFonts w:ascii="Arial" w:eastAsia="Calibri" w:hAnsi="Arial" w:cs="Arial"/>
                  <w:color w:val="FF0000"/>
                  <w:szCs w:val="24"/>
                  <w:lang w:val="bg-BG"/>
                </w:rPr>
              </w:pPr>
            </w:p>
            <w:p w:rsidR="00071625" w:rsidRDefault="00E85087"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D83A30" w:rsidP="00FB1D2B">
              <w:pPr>
                <w:jc w:val="both"/>
                <w:rPr>
                  <w:rFonts w:cs="Times New Roman"/>
                  <w:szCs w:val="24"/>
                  <w:lang w:val="bg-BG"/>
                </w:rPr>
              </w:pPr>
              <w:r>
                <w:rPr>
                  <w:rFonts w:cs="Times New Roman"/>
                  <w:szCs w:val="24"/>
                  <w:lang w:val="bg-BG"/>
                </w:rPr>
                <w:t>Текущо оценяване се извършва на работата на студентите на семинарните занятия. Те се оценяват комплексно, като се вземат предвид резултатите от два колоквиума, проведени в края на всеки от семестрите, участието им в дискусии и решаване на казуси по време на занятия, изпълнение на задачите, поставени от ръководителя на упражненията. Оценката за работата на семинарни занятия, се взема предвид (с относителна тежест до една единица) при формиране на окончателната оценка по дисциплината, която се поставя след полагане на изпит по време на сесия.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D83A30"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rFonts w:cs="Times New Roman"/>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Pr="007E166E" w:rsidRDefault="00D83A30" w:rsidP="007E166E">
              <w:pPr>
                <w:jc w:val="both"/>
                <w:rPr>
                  <w:rFonts w:cs="Times New Roman"/>
                  <w:szCs w:val="24"/>
                  <w:lang w:val="bg-BG"/>
                </w:rPr>
              </w:pPr>
              <w:r>
                <w:rPr>
                  <w:rFonts w:cs="Times New Roman"/>
                  <w:lang w:val="bg-BG"/>
                </w:rPr>
                <w:t xml:space="preserve">За допускане на студентите до семестриален изпит трябва да са налице кумулативно две условия – над 50 % присъствия на семинарните занятия и положен </w:t>
              </w:r>
              <w:proofErr w:type="spellStart"/>
              <w:r>
                <w:rPr>
                  <w:rFonts w:cs="Times New Roman"/>
                  <w:lang w:val="bg-BG"/>
                </w:rPr>
                <w:t>колоквиум.Текущото</w:t>
              </w:r>
              <w:proofErr w:type="spellEnd"/>
              <w:r>
                <w:rPr>
                  <w:rFonts w:cs="Times New Roman"/>
                  <w:lang w:val="bg-BG"/>
                </w:rPr>
                <w:t xml:space="preserve"> оценяване се извършва за участие на студентите в семинарните занятия. Студентите се оценяват комплексно, като се вземат предвид резултатите от колоквиум, проведен писмено в края на семестъра, участието на студентите в дискусии, решаване на казуси и тестове, изпълнение на курсови и контролни </w:t>
              </w:r>
              <w:proofErr w:type="spellStart"/>
              <w:r>
                <w:rPr>
                  <w:rFonts w:cs="Times New Roman"/>
                  <w:lang w:val="bg-BG"/>
                </w:rPr>
                <w:t>ра</w:t>
              </w:r>
              <w:proofErr w:type="spellEnd"/>
              <w:r>
                <w:rPr>
                  <w:rFonts w:cs="Times New Roman"/>
                  <w:lang w:val="bg-BG"/>
                </w:rPr>
                <w:t>-боти и решаването на други задачи, поставени от асистента  на упражненията. Те-</w:t>
              </w:r>
              <w:proofErr w:type="spellStart"/>
              <w:r>
                <w:rPr>
                  <w:rFonts w:cs="Times New Roman"/>
                  <w:lang w:val="bg-BG"/>
                </w:rPr>
                <w:t>кущата</w:t>
              </w:r>
              <w:proofErr w:type="spellEnd"/>
              <w:r>
                <w:rPr>
                  <w:rFonts w:cs="Times New Roman"/>
                  <w:lang w:val="bg-BG"/>
                </w:rPr>
                <w:t xml:space="preserve"> оценка от участието на семинарни занятия се взема предвид при форми-</w:t>
              </w:r>
              <w:proofErr w:type="spellStart"/>
              <w:r>
                <w:rPr>
                  <w:rFonts w:cs="Times New Roman"/>
                  <w:lang w:val="bg-BG"/>
                </w:rPr>
                <w:t>ране</w:t>
              </w:r>
              <w:proofErr w:type="spellEnd"/>
              <w:r>
                <w:rPr>
                  <w:rFonts w:cs="Times New Roman"/>
                  <w:lang w:val="bg-BG"/>
                </w:rPr>
                <w:t xml:space="preserve"> на окончателната оценка по дисциплината, която се поставя след полагане на семестриалния изпит по време на изпитната </w:t>
              </w:r>
              <w:proofErr w:type="spellStart"/>
              <w:r>
                <w:rPr>
                  <w:rFonts w:cs="Times New Roman"/>
                  <w:lang w:val="bg-BG"/>
                </w:rPr>
                <w:t>сесия.Преценката</w:t>
              </w:r>
              <w:proofErr w:type="spellEnd"/>
              <w:r>
                <w:rPr>
                  <w:rFonts w:cs="Times New Roman"/>
                  <w:lang w:val="bg-BG"/>
                </w:rPr>
                <w:t xml:space="preserve"> за усвоените от студените знания по търговско право–2 част, се извършва чрез провеждането на изпит, на който знанията се оценяват по шестобалната система. Изпитът е устен. Крайната оценка се формира от оценката, получена на изпита и от оценката, получена от текущото оценяване. Тежестта на двете оценки при формиране на крайната оценка е съответно 80% и 20%.</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lastRenderedPageBreak/>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3D3AB1" w:rsidP="00FF4CA3">
              <w:pPr>
                <w:jc w:val="both"/>
                <w:rPr>
                  <w:rFonts w:cs="Times New Roman"/>
                  <w:szCs w:val="24"/>
                  <w:lang w:val="bg-BG"/>
                </w:rPr>
              </w:pPr>
              <w:r w:rsidRPr="00A8433E">
                <w:rPr>
                  <w:szCs w:val="24"/>
                  <w:lang w:val="bg-BG"/>
                </w:rPr>
                <w:t>Устен</w:t>
              </w:r>
              <w:r w:rsidRPr="00A8433E">
                <w:rPr>
                  <w:lang w:val="bg-BG"/>
                </w:rPr>
                <w:t xml:space="preserve"> изпит. По време на изпита студентите могат да ползват законодателството.</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2781E" w:rsidRPr="00D2781E" w:rsidRDefault="00D2781E" w:rsidP="00D2781E">
              <w:pPr>
                <w:pStyle w:val="BodyText"/>
                <w:jc w:val="both"/>
                <w:rPr>
                  <w:rFonts w:cs="Times New Roman"/>
                  <w:lang w:val="bg-BG"/>
                </w:rPr>
              </w:pPr>
              <w:r w:rsidRPr="00D2781E">
                <w:rPr>
                  <w:rFonts w:cs="Times New Roman"/>
                  <w:lang w:val="bg-BG"/>
                </w:rPr>
                <w:t>На изпит се очаква студентите да  покажат знания за :</w:t>
              </w:r>
            </w:p>
            <w:p w:rsidR="00D2781E" w:rsidRPr="00D2781E" w:rsidRDefault="00D2781E" w:rsidP="00D2781E">
              <w:pPr>
                <w:pStyle w:val="ListParagraph"/>
                <w:numPr>
                  <w:ilvl w:val="0"/>
                  <w:numId w:val="5"/>
                </w:numPr>
                <w:spacing w:after="0" w:line="240" w:lineRule="auto"/>
                <w:contextualSpacing w:val="0"/>
                <w:jc w:val="both"/>
                <w:rPr>
                  <w:rFonts w:cs="Times New Roman"/>
                  <w:lang w:val="bg-BG"/>
                </w:rPr>
              </w:pPr>
              <w:r w:rsidRPr="00D2781E">
                <w:rPr>
                  <w:rFonts w:cs="Times New Roman"/>
                  <w:lang w:val="bg-BG"/>
                </w:rPr>
                <w:t>за основните понятия и институти на правото на търговските сделки, на теорията и съдебната им практика;</w:t>
              </w:r>
            </w:p>
            <w:p w:rsidR="00D2781E" w:rsidRPr="00D2781E" w:rsidRDefault="00D2781E" w:rsidP="00D2781E">
              <w:pPr>
                <w:pStyle w:val="ListParagraph"/>
                <w:numPr>
                  <w:ilvl w:val="0"/>
                  <w:numId w:val="5"/>
                </w:numPr>
                <w:spacing w:after="0" w:line="240" w:lineRule="auto"/>
                <w:contextualSpacing w:val="0"/>
                <w:jc w:val="both"/>
                <w:rPr>
                  <w:rFonts w:cs="Times New Roman"/>
                  <w:lang w:val="bg-BG"/>
                </w:rPr>
              </w:pPr>
              <w:r w:rsidRPr="00D2781E">
                <w:rPr>
                  <w:rFonts w:cs="Times New Roman"/>
                  <w:lang w:val="bg-BG"/>
                </w:rPr>
                <w:t>способите за тълкуване на правните норми, прилагани в теорията и в съдебната практика с цел решаване на конкретни казуси;</w:t>
              </w:r>
            </w:p>
            <w:p w:rsidR="00D2781E" w:rsidRPr="00D2781E" w:rsidRDefault="00D2781E" w:rsidP="00D2781E">
              <w:pPr>
                <w:pStyle w:val="ListParagraph"/>
                <w:numPr>
                  <w:ilvl w:val="0"/>
                  <w:numId w:val="5"/>
                </w:numPr>
                <w:spacing w:after="0" w:line="240" w:lineRule="auto"/>
                <w:contextualSpacing w:val="0"/>
                <w:jc w:val="both"/>
                <w:rPr>
                  <w:rFonts w:cs="Times New Roman"/>
                  <w:lang w:val="bg-BG"/>
                </w:rPr>
              </w:pPr>
              <w:r w:rsidRPr="00D2781E">
                <w:rPr>
                  <w:rFonts w:cs="Times New Roman"/>
                  <w:lang w:val="bg-BG"/>
                </w:rPr>
                <w:t>за понятията, термините и за връзките между тях и за връзките на търговското право с другите клонове на правото;</w:t>
              </w:r>
            </w:p>
            <w:p w:rsidR="00D2781E" w:rsidRPr="00D2781E" w:rsidRDefault="00D2781E" w:rsidP="00D2781E">
              <w:pPr>
                <w:spacing w:after="0" w:line="240" w:lineRule="auto"/>
                <w:ind w:left="720"/>
                <w:contextualSpacing w:val="0"/>
                <w:jc w:val="both"/>
                <w:rPr>
                  <w:rFonts w:cs="Times New Roman"/>
                  <w:lang w:val="bg-BG"/>
                </w:rPr>
              </w:pPr>
              <w:r w:rsidRPr="00D2781E">
                <w:rPr>
                  <w:rFonts w:cs="Times New Roman"/>
                  <w:lang w:val="bg-BG"/>
                </w:rPr>
                <w:t>и да умеят :</w:t>
              </w:r>
            </w:p>
            <w:p w:rsidR="00D2781E" w:rsidRPr="00207CC4" w:rsidRDefault="00D2781E" w:rsidP="00207CC4">
              <w:pPr>
                <w:pStyle w:val="ListParagraph"/>
                <w:numPr>
                  <w:ilvl w:val="0"/>
                  <w:numId w:val="3"/>
                </w:numPr>
                <w:spacing w:after="0" w:line="240" w:lineRule="auto"/>
                <w:contextualSpacing w:val="0"/>
                <w:jc w:val="both"/>
                <w:rPr>
                  <w:rFonts w:cs="Times New Roman"/>
                  <w:lang w:val="bg-BG"/>
                </w:rPr>
              </w:pPr>
              <w:r w:rsidRPr="00207CC4">
                <w:rPr>
                  <w:rFonts w:cs="Times New Roman"/>
                  <w:lang w:val="bg-BG"/>
                </w:rPr>
                <w:t>да намират точните правни норми, да използват коректно понятийния апарат на търговското право;</w:t>
              </w:r>
            </w:p>
            <w:p w:rsidR="00D2781E" w:rsidRPr="00D2781E" w:rsidRDefault="00D2781E" w:rsidP="00D2781E">
              <w:pPr>
                <w:numPr>
                  <w:ilvl w:val="0"/>
                  <w:numId w:val="3"/>
                </w:numPr>
                <w:spacing w:after="0" w:line="240" w:lineRule="auto"/>
                <w:contextualSpacing w:val="0"/>
                <w:jc w:val="both"/>
                <w:rPr>
                  <w:rFonts w:cs="Times New Roman"/>
                  <w:lang w:val="bg-BG"/>
                </w:rPr>
              </w:pPr>
              <w:r w:rsidRPr="00D2781E">
                <w:rPr>
                  <w:rFonts w:cs="Times New Roman"/>
                  <w:lang w:val="bg-BG"/>
                </w:rPr>
                <w:t>да поставят правилно въпроса и да търсят най-прекия път за неговото решаване;</w:t>
              </w:r>
            </w:p>
            <w:p w:rsidR="00D2781E" w:rsidRPr="00D2781E" w:rsidRDefault="00D2781E" w:rsidP="00D2781E">
              <w:pPr>
                <w:numPr>
                  <w:ilvl w:val="0"/>
                  <w:numId w:val="3"/>
                </w:numPr>
                <w:spacing w:after="0" w:line="240" w:lineRule="auto"/>
                <w:contextualSpacing w:val="0"/>
                <w:jc w:val="both"/>
                <w:rPr>
                  <w:rFonts w:cs="Times New Roman"/>
                  <w:lang w:val="bg-BG"/>
                </w:rPr>
              </w:pPr>
              <w:r w:rsidRPr="00D2781E">
                <w:rPr>
                  <w:rFonts w:cs="Times New Roman"/>
                  <w:lang w:val="bg-BG"/>
                </w:rPr>
                <w:t>да аргументират становища, да могат да се изказват и писмено да изразяват и защитават своето становище;</w:t>
              </w:r>
            </w:p>
            <w:p w:rsidR="00D2781E" w:rsidRPr="00D2781E" w:rsidRDefault="00D2781E" w:rsidP="00D2781E">
              <w:pPr>
                <w:numPr>
                  <w:ilvl w:val="0"/>
                  <w:numId w:val="3"/>
                </w:numPr>
                <w:spacing w:after="0" w:line="240" w:lineRule="auto"/>
                <w:contextualSpacing w:val="0"/>
                <w:jc w:val="both"/>
                <w:rPr>
                  <w:rFonts w:cs="Times New Roman"/>
                  <w:lang w:val="bg-BG"/>
                </w:rPr>
              </w:pPr>
              <w:r w:rsidRPr="00D2781E">
                <w:rPr>
                  <w:rFonts w:cs="Times New Roman"/>
                  <w:lang w:val="bg-BG"/>
                </w:rPr>
                <w:t>да демонстрират критично отношение към неправилни правни норми и съдебни решения</w:t>
              </w:r>
            </w:p>
            <w:p w:rsidR="00D2781E" w:rsidRPr="00D2781E" w:rsidRDefault="00D2781E" w:rsidP="00D2781E">
              <w:pPr>
                <w:tabs>
                  <w:tab w:val="left" w:pos="370"/>
                </w:tabs>
                <w:spacing w:before="120" w:after="0" w:line="240" w:lineRule="auto"/>
                <w:contextualSpacing w:val="0"/>
                <w:jc w:val="both"/>
                <w:rPr>
                  <w:rFonts w:eastAsia="Calibri" w:cs="Times New Roman"/>
                  <w:shd w:val="clear" w:color="auto" w:fill="FFFFFF"/>
                  <w:lang w:val="bg-BG"/>
                </w:rPr>
              </w:pPr>
              <w:r w:rsidRPr="00D2781E">
                <w:rPr>
                  <w:rFonts w:eastAsia="Calibri" w:cs="Times New Roman"/>
                  <w:shd w:val="clear" w:color="auto" w:fill="FFFFFF"/>
                  <w:lang w:val="bg-BG"/>
                </w:rPr>
                <w:t>Оценката от изпита се формира в зависимост от степента на:</w:t>
              </w:r>
            </w:p>
            <w:p w:rsidR="00D2781E" w:rsidRPr="00D2781E" w:rsidRDefault="00D2781E" w:rsidP="00D2781E">
              <w:pPr>
                <w:numPr>
                  <w:ilvl w:val="0"/>
                  <w:numId w:val="2"/>
                </w:numPr>
                <w:tabs>
                  <w:tab w:val="left" w:pos="370"/>
                </w:tabs>
                <w:spacing w:before="120" w:after="0" w:line="240" w:lineRule="auto"/>
                <w:contextualSpacing w:val="0"/>
                <w:jc w:val="both"/>
                <w:rPr>
                  <w:rFonts w:eastAsia="Calibri" w:cs="Times New Roman"/>
                  <w:shd w:val="clear" w:color="auto" w:fill="FFFFFF"/>
                  <w:lang w:val="bg-BG"/>
                </w:rPr>
              </w:pPr>
              <w:r w:rsidRPr="00D2781E">
                <w:rPr>
                  <w:rFonts w:eastAsia="Calibri" w:cs="Times New Roman"/>
                  <w:shd w:val="clear" w:color="auto" w:fill="FFFFFF"/>
                  <w:lang w:val="bg-BG"/>
                </w:rPr>
                <w:t xml:space="preserve">придобитите знания по дисциплината; </w:t>
              </w:r>
            </w:p>
            <w:p w:rsidR="00D2781E" w:rsidRPr="00D2781E" w:rsidRDefault="00D2781E" w:rsidP="00D2781E">
              <w:pPr>
                <w:numPr>
                  <w:ilvl w:val="0"/>
                  <w:numId w:val="2"/>
                </w:numPr>
                <w:tabs>
                  <w:tab w:val="left" w:pos="370"/>
                </w:tabs>
                <w:spacing w:before="120" w:after="0" w:line="240" w:lineRule="auto"/>
                <w:contextualSpacing w:val="0"/>
                <w:jc w:val="both"/>
                <w:rPr>
                  <w:rFonts w:eastAsia="Calibri" w:cs="Times New Roman"/>
                  <w:shd w:val="clear" w:color="auto" w:fill="FFFFFF"/>
                  <w:lang w:val="bg-BG"/>
                </w:rPr>
              </w:pPr>
              <w:r w:rsidRPr="00D2781E">
                <w:rPr>
                  <w:rFonts w:eastAsia="Calibri" w:cs="Times New Roman"/>
                  <w:shd w:val="clear" w:color="auto" w:fill="FFFFFF"/>
                  <w:lang w:val="bg-BG"/>
                </w:rPr>
                <w:t xml:space="preserve">умението тези знания бъдат излагани подредено, като се използва коректно понятийният и терминологичен апарат на дисциплината; </w:t>
              </w:r>
            </w:p>
            <w:p w:rsidR="00D2781E" w:rsidRPr="00D2781E" w:rsidRDefault="00D2781E" w:rsidP="00D2781E">
              <w:pPr>
                <w:numPr>
                  <w:ilvl w:val="0"/>
                  <w:numId w:val="2"/>
                </w:numPr>
                <w:tabs>
                  <w:tab w:val="left" w:pos="370"/>
                </w:tabs>
                <w:spacing w:before="120" w:after="0" w:line="240" w:lineRule="auto"/>
                <w:contextualSpacing w:val="0"/>
                <w:jc w:val="both"/>
                <w:rPr>
                  <w:rFonts w:eastAsia="Calibri" w:cs="Times New Roman"/>
                  <w:szCs w:val="24"/>
                  <w:shd w:val="clear" w:color="auto" w:fill="FFFFFF"/>
                  <w:lang w:val="bg-BG"/>
                </w:rPr>
              </w:pPr>
              <w:r w:rsidRPr="00D2781E">
                <w:rPr>
                  <w:rFonts w:eastAsia="Calibri" w:cs="Times New Roman"/>
                  <w:szCs w:val="24"/>
                  <w:shd w:val="clear" w:color="auto" w:fill="FFFFFF"/>
                  <w:lang w:val="bg-BG"/>
                </w:rPr>
                <w:t xml:space="preserve">умението  да се подвеждат факти под </w:t>
              </w:r>
              <w:proofErr w:type="spellStart"/>
              <w:r w:rsidRPr="00D2781E">
                <w:rPr>
                  <w:rFonts w:eastAsia="Calibri" w:cs="Times New Roman"/>
                  <w:szCs w:val="24"/>
                  <w:shd w:val="clear" w:color="auto" w:fill="FFFFFF"/>
                  <w:lang w:val="bg-BG"/>
                </w:rPr>
                <w:t>хипотезиса</w:t>
              </w:r>
              <w:proofErr w:type="spellEnd"/>
              <w:r w:rsidRPr="00D2781E">
                <w:rPr>
                  <w:rFonts w:eastAsia="Calibri" w:cs="Times New Roman"/>
                  <w:szCs w:val="24"/>
                  <w:shd w:val="clear" w:color="auto" w:fill="FFFFFF"/>
                  <w:lang w:val="bg-BG"/>
                </w:rPr>
                <w:t xml:space="preserve"> на правната норма,  да се тълкува нормативната уредба и прилага спрямо конкретна фактическа ситуация</w:t>
              </w:r>
            </w:p>
            <w:p w:rsidR="00DA6080" w:rsidRDefault="00E85087"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83A30" w:rsidP="00470C68">
              <w:pPr>
                <w:jc w:val="both"/>
                <w:rPr>
                  <w:rFonts w:cs="Times New Roman"/>
                  <w:szCs w:val="24"/>
                  <w:lang w:val="bg-BG"/>
                </w:rPr>
              </w:pPr>
              <w:r>
                <w:rPr>
                  <w:lang w:val="bg-BG"/>
                </w:rPr>
                <w:t>За успешното  усвояване на материята по  учебната дисциплина „Търговско право. Втора част” е от съществено значение  студентите да са придобили знания и успешно положили изпит по учебните дисциплини „Обща теория на правото”, „Римско частно право”, „Гражданско право - обща част” „Вещно право”, „Облигационно право” и „Търговско право – първа част”, изучавани през предходните години от тяхното следване.</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087" w:rsidRDefault="00E85087" w:rsidP="00F44CAE">
      <w:pPr>
        <w:spacing w:after="0" w:line="240" w:lineRule="auto"/>
      </w:pPr>
      <w:r>
        <w:separator/>
      </w:r>
    </w:p>
  </w:endnote>
  <w:endnote w:type="continuationSeparator" w:id="0">
    <w:p w:rsidR="00E85087" w:rsidRDefault="00E85087"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801DC0">
      <w:rPr>
        <w:noProof/>
      </w:rPr>
      <w:t>6</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087" w:rsidRDefault="00E85087" w:rsidP="00F44CAE">
      <w:pPr>
        <w:spacing w:after="0" w:line="240" w:lineRule="auto"/>
      </w:pPr>
      <w:r>
        <w:separator/>
      </w:r>
    </w:p>
  </w:footnote>
  <w:footnote w:type="continuationSeparator" w:id="0">
    <w:p w:rsidR="00E85087" w:rsidRDefault="00E85087"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65CF"/>
    <w:multiLevelType w:val="hybridMultilevel"/>
    <w:tmpl w:val="AC80254A"/>
    <w:lvl w:ilvl="0" w:tplc="6C543684">
      <w:start w:val="1"/>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F7013"/>
    <w:multiLevelType w:val="hybridMultilevel"/>
    <w:tmpl w:val="9ABC9526"/>
    <w:lvl w:ilvl="0" w:tplc="6C543684">
      <w:start w:val="1"/>
      <w:numFmt w:val="bullet"/>
      <w:lvlText w:val="-"/>
      <w:lvlJc w:val="left"/>
      <w:pPr>
        <w:tabs>
          <w:tab w:val="num" w:pos="720"/>
        </w:tabs>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4EB6A9E"/>
    <w:multiLevelType w:val="hybridMultilevel"/>
    <w:tmpl w:val="D60E6ED2"/>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3A504C44"/>
    <w:multiLevelType w:val="hybridMultilevel"/>
    <w:tmpl w:val="FBC09A8C"/>
    <w:lvl w:ilvl="0" w:tplc="2D3CC6C4">
      <w:numFmt w:val="bullet"/>
      <w:lvlText w:val="-"/>
      <w:lvlJc w:val="left"/>
      <w:pPr>
        <w:ind w:left="420" w:hanging="360"/>
      </w:pPr>
      <w:rPr>
        <w:rFonts w:ascii="Times New Roman" w:eastAsia="PMingLiU"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63DE5"/>
    <w:rsid w:val="00071625"/>
    <w:rsid w:val="00073B87"/>
    <w:rsid w:val="00085031"/>
    <w:rsid w:val="00086F5A"/>
    <w:rsid w:val="000951CB"/>
    <w:rsid w:val="00095759"/>
    <w:rsid w:val="000A566C"/>
    <w:rsid w:val="000D01CD"/>
    <w:rsid w:val="000D0DBC"/>
    <w:rsid w:val="000D1387"/>
    <w:rsid w:val="000D3E01"/>
    <w:rsid w:val="000E6BFF"/>
    <w:rsid w:val="000F39A1"/>
    <w:rsid w:val="000F3FF7"/>
    <w:rsid w:val="00100BC6"/>
    <w:rsid w:val="001101B4"/>
    <w:rsid w:val="00135FE0"/>
    <w:rsid w:val="00147632"/>
    <w:rsid w:val="00177D18"/>
    <w:rsid w:val="00181310"/>
    <w:rsid w:val="001A5BED"/>
    <w:rsid w:val="001D0877"/>
    <w:rsid w:val="001D2ED5"/>
    <w:rsid w:val="001E40C3"/>
    <w:rsid w:val="00207CC4"/>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77EFF"/>
    <w:rsid w:val="00380F5A"/>
    <w:rsid w:val="003812A2"/>
    <w:rsid w:val="0039054A"/>
    <w:rsid w:val="003935BC"/>
    <w:rsid w:val="003947E3"/>
    <w:rsid w:val="003B43BD"/>
    <w:rsid w:val="003D3AB1"/>
    <w:rsid w:val="003D64E1"/>
    <w:rsid w:val="003D741F"/>
    <w:rsid w:val="003E037F"/>
    <w:rsid w:val="003E3B14"/>
    <w:rsid w:val="003F0818"/>
    <w:rsid w:val="003F1EC7"/>
    <w:rsid w:val="003F724E"/>
    <w:rsid w:val="00407C97"/>
    <w:rsid w:val="00414430"/>
    <w:rsid w:val="0041785B"/>
    <w:rsid w:val="00425277"/>
    <w:rsid w:val="004526E8"/>
    <w:rsid w:val="004620CC"/>
    <w:rsid w:val="00464F8A"/>
    <w:rsid w:val="00470C68"/>
    <w:rsid w:val="004D3203"/>
    <w:rsid w:val="00513BF8"/>
    <w:rsid w:val="005202A0"/>
    <w:rsid w:val="0052579D"/>
    <w:rsid w:val="005346A5"/>
    <w:rsid w:val="00555F07"/>
    <w:rsid w:val="00556380"/>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29F"/>
    <w:rsid w:val="007B6F3D"/>
    <w:rsid w:val="007B74F5"/>
    <w:rsid w:val="007B7BFA"/>
    <w:rsid w:val="007D45D4"/>
    <w:rsid w:val="007D7EF5"/>
    <w:rsid w:val="007E166E"/>
    <w:rsid w:val="007F478E"/>
    <w:rsid w:val="00801DC0"/>
    <w:rsid w:val="00810FE2"/>
    <w:rsid w:val="00822EBB"/>
    <w:rsid w:val="00855C8A"/>
    <w:rsid w:val="00857E98"/>
    <w:rsid w:val="00873624"/>
    <w:rsid w:val="00895B34"/>
    <w:rsid w:val="0089661E"/>
    <w:rsid w:val="008B2520"/>
    <w:rsid w:val="008B54CC"/>
    <w:rsid w:val="008D05AB"/>
    <w:rsid w:val="008E751F"/>
    <w:rsid w:val="008F0F81"/>
    <w:rsid w:val="0090153B"/>
    <w:rsid w:val="009243DB"/>
    <w:rsid w:val="00933241"/>
    <w:rsid w:val="00940CE1"/>
    <w:rsid w:val="00947A8E"/>
    <w:rsid w:val="009601DB"/>
    <w:rsid w:val="00986211"/>
    <w:rsid w:val="00991FCB"/>
    <w:rsid w:val="009A2BCF"/>
    <w:rsid w:val="009B7BE8"/>
    <w:rsid w:val="009D0362"/>
    <w:rsid w:val="009E6411"/>
    <w:rsid w:val="00A0317A"/>
    <w:rsid w:val="00A067CA"/>
    <w:rsid w:val="00A1071D"/>
    <w:rsid w:val="00A12DB5"/>
    <w:rsid w:val="00A13408"/>
    <w:rsid w:val="00A46400"/>
    <w:rsid w:val="00A47FA0"/>
    <w:rsid w:val="00A537B3"/>
    <w:rsid w:val="00A60E64"/>
    <w:rsid w:val="00A63168"/>
    <w:rsid w:val="00A6764E"/>
    <w:rsid w:val="00AA5772"/>
    <w:rsid w:val="00AB479D"/>
    <w:rsid w:val="00AE1971"/>
    <w:rsid w:val="00AF630C"/>
    <w:rsid w:val="00B30F5F"/>
    <w:rsid w:val="00B37130"/>
    <w:rsid w:val="00B5145B"/>
    <w:rsid w:val="00B55DDF"/>
    <w:rsid w:val="00B74543"/>
    <w:rsid w:val="00BB39F1"/>
    <w:rsid w:val="00BB4183"/>
    <w:rsid w:val="00BB46B0"/>
    <w:rsid w:val="00BB5D8B"/>
    <w:rsid w:val="00BC05DB"/>
    <w:rsid w:val="00BC65D0"/>
    <w:rsid w:val="00BE12D1"/>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154C9"/>
    <w:rsid w:val="00D164B6"/>
    <w:rsid w:val="00D2164B"/>
    <w:rsid w:val="00D2781E"/>
    <w:rsid w:val="00D53379"/>
    <w:rsid w:val="00D8312C"/>
    <w:rsid w:val="00D83A30"/>
    <w:rsid w:val="00D93D5D"/>
    <w:rsid w:val="00DA4C1C"/>
    <w:rsid w:val="00DA511D"/>
    <w:rsid w:val="00DA6080"/>
    <w:rsid w:val="00DB542E"/>
    <w:rsid w:val="00DC03AF"/>
    <w:rsid w:val="00DC226A"/>
    <w:rsid w:val="00DD2770"/>
    <w:rsid w:val="00E15C96"/>
    <w:rsid w:val="00E35777"/>
    <w:rsid w:val="00E362FE"/>
    <w:rsid w:val="00E6188C"/>
    <w:rsid w:val="00E77D13"/>
    <w:rsid w:val="00E8078F"/>
    <w:rsid w:val="00E85087"/>
    <w:rsid w:val="00E86621"/>
    <w:rsid w:val="00EA4996"/>
    <w:rsid w:val="00EA4F74"/>
    <w:rsid w:val="00EC5C70"/>
    <w:rsid w:val="00ED49C0"/>
    <w:rsid w:val="00EF3231"/>
    <w:rsid w:val="00F02E4A"/>
    <w:rsid w:val="00F070E8"/>
    <w:rsid w:val="00F44525"/>
    <w:rsid w:val="00F44CA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uiPriority w:val="99"/>
    <w:semiHidden/>
    <w:unhideWhenUsed/>
    <w:rsid w:val="00D2781E"/>
    <w:pPr>
      <w:spacing w:after="120"/>
    </w:pPr>
  </w:style>
  <w:style w:type="character" w:customStyle="1" w:styleId="BodyTextChar">
    <w:name w:val="Body Text Char"/>
    <w:basedOn w:val="DefaultParagraphFont"/>
    <w:link w:val="BodyText"/>
    <w:uiPriority w:val="99"/>
    <w:semiHidden/>
    <w:rsid w:val="00D278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09199F"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9199F"/>
    <w:rsid w:val="000D0058"/>
    <w:rsid w:val="000D49F2"/>
    <w:rsid w:val="000E2C70"/>
    <w:rsid w:val="000F4F1D"/>
    <w:rsid w:val="002415D3"/>
    <w:rsid w:val="0024550E"/>
    <w:rsid w:val="00293887"/>
    <w:rsid w:val="002C6487"/>
    <w:rsid w:val="002F2A23"/>
    <w:rsid w:val="003B224E"/>
    <w:rsid w:val="003F6567"/>
    <w:rsid w:val="00455EAE"/>
    <w:rsid w:val="00456F3E"/>
    <w:rsid w:val="004D4026"/>
    <w:rsid w:val="00524337"/>
    <w:rsid w:val="00527D16"/>
    <w:rsid w:val="00541A3C"/>
    <w:rsid w:val="005607A2"/>
    <w:rsid w:val="005B1EB5"/>
    <w:rsid w:val="005D122A"/>
    <w:rsid w:val="0061629A"/>
    <w:rsid w:val="00643605"/>
    <w:rsid w:val="00674C49"/>
    <w:rsid w:val="006E202E"/>
    <w:rsid w:val="006E7F98"/>
    <w:rsid w:val="00716478"/>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3A96-3FF1-45A3-8759-DD981724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6</Pages>
  <Words>1607</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cp:lastPrinted>2023-02-17T10:09:00Z</cp:lastPrinted>
  <dcterms:created xsi:type="dcterms:W3CDTF">2023-02-17T08:18:00Z</dcterms:created>
  <dcterms:modified xsi:type="dcterms:W3CDTF">2023-02-22T11:25:00Z</dcterms:modified>
</cp:coreProperties>
</file>