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77EF" w14:textId="77777777"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14:paraId="7897F253" w14:textId="69C499BB" w:rsidR="00AE1971" w:rsidRPr="00AE1971" w:rsidRDefault="00744FC0" w:rsidP="00AE1971">
          <w:pPr>
            <w:tabs>
              <w:tab w:val="left" w:pos="5370"/>
            </w:tabs>
            <w:jc w:val="center"/>
            <w:rPr>
              <w:rFonts w:cs="Times New Roman"/>
              <w:szCs w:val="24"/>
              <w:lang w:val="bg-BG"/>
            </w:rPr>
          </w:pPr>
          <w:r>
            <w:rPr>
              <w:rStyle w:val="BookTitle"/>
              <w:sz w:val="36"/>
              <w:szCs w:val="36"/>
              <w:lang w:val="bg-BG"/>
            </w:rPr>
            <w:t xml:space="preserve">адвокатска защита </w:t>
          </w:r>
          <w:r w:rsidR="00336E2A">
            <w:rPr>
              <w:rStyle w:val="BookTitle"/>
              <w:sz w:val="36"/>
              <w:szCs w:val="36"/>
              <w:lang w:val="bg-BG"/>
            </w:rPr>
            <w:t>на потребителите</w:t>
          </w:r>
        </w:p>
      </w:sdtContent>
    </w:sdt>
    <w:p w14:paraId="78384692" w14:textId="77777777" w:rsidR="00AE1971" w:rsidRPr="00AE1971" w:rsidRDefault="00AE1971" w:rsidP="00AE1971">
      <w:pPr>
        <w:tabs>
          <w:tab w:val="left" w:pos="5370"/>
        </w:tabs>
        <w:rPr>
          <w:rFonts w:cs="Times New Roman"/>
          <w:szCs w:val="24"/>
          <w:lang w:val="bg-BG"/>
        </w:rPr>
      </w:pPr>
    </w:p>
    <w:p w14:paraId="21F848F3" w14:textId="77777777"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14:paraId="0F4550AC" w14:textId="77777777" w:rsidTr="00991FCB">
        <w:tc>
          <w:tcPr>
            <w:tcW w:w="6345" w:type="dxa"/>
            <w:vAlign w:val="center"/>
          </w:tcPr>
          <w:p w14:paraId="4D135A22"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14:paraId="7A75AB9B" w14:textId="77777777"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14:paraId="2488C520" w14:textId="77777777" w:rsidTr="00991FCB">
        <w:trPr>
          <w:trHeight w:val="419"/>
        </w:trPr>
        <w:tc>
          <w:tcPr>
            <w:tcW w:w="6345" w:type="dxa"/>
            <w:vAlign w:val="center"/>
          </w:tcPr>
          <w:p w14:paraId="71349798"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14:paraId="09A89C81" w14:textId="65E0EE63" w:rsidR="000D1387" w:rsidRPr="00464F8A" w:rsidRDefault="00336E2A"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14:paraId="7437E6B7" w14:textId="77777777" w:rsidTr="00991FCB">
        <w:trPr>
          <w:trHeight w:val="544"/>
        </w:trPr>
        <w:tc>
          <w:tcPr>
            <w:tcW w:w="6345" w:type="dxa"/>
            <w:shd w:val="clear" w:color="auto" w:fill="auto"/>
            <w:vAlign w:val="center"/>
          </w:tcPr>
          <w:p w14:paraId="2DFF224F" w14:textId="77777777"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14:paraId="2FD407B1" w14:textId="77777777" w:rsidR="00A0317A" w:rsidRPr="00464F8A" w:rsidRDefault="00916301" w:rsidP="00007DB0">
                <w:pPr>
                  <w:rPr>
                    <w:rFonts w:cs="Times New Roman"/>
                    <w:szCs w:val="24"/>
                    <w:lang w:val="bg-BG"/>
                  </w:rPr>
                </w:pPr>
                <w:r>
                  <w:rPr>
                    <w:rFonts w:cs="Times New Roman"/>
                    <w:szCs w:val="24"/>
                    <w:lang w:val="bg-BG"/>
                  </w:rPr>
                  <w:t>Избираема</w:t>
                </w:r>
              </w:p>
            </w:tc>
          </w:sdtContent>
        </w:sdt>
      </w:tr>
      <w:tr w:rsidR="00FB1B8F" w:rsidRPr="00336E2A" w14:paraId="07115737" w14:textId="77777777" w:rsidTr="00991FCB">
        <w:trPr>
          <w:trHeight w:val="70"/>
        </w:trPr>
        <w:tc>
          <w:tcPr>
            <w:tcW w:w="6345" w:type="dxa"/>
            <w:shd w:val="clear" w:color="auto" w:fill="auto"/>
            <w:vAlign w:val="center"/>
          </w:tcPr>
          <w:p w14:paraId="1F9AFD62" w14:textId="77777777"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14:paraId="17F758AB" w14:textId="3BE59065" w:rsidR="00FB1B8F" w:rsidRPr="00464F8A" w:rsidRDefault="00916301" w:rsidP="00752B05">
                <w:pPr>
                  <w:rPr>
                    <w:rFonts w:cs="Times New Roman"/>
                    <w:szCs w:val="24"/>
                    <w:lang w:val="bg-BG"/>
                  </w:rPr>
                </w:pPr>
                <w:r>
                  <w:rPr>
                    <w:rFonts w:cs="Times New Roman"/>
                    <w:szCs w:val="24"/>
                    <w:lang w:val="bg-BG"/>
                  </w:rPr>
                  <w:t xml:space="preserve">Доц. д-р </w:t>
                </w:r>
                <w:r w:rsidR="00336E2A">
                  <w:rPr>
                    <w:rFonts w:cs="Times New Roman"/>
                    <w:szCs w:val="24"/>
                    <w:lang w:val="bg-BG"/>
                  </w:rPr>
                  <w:t>Димитър Деков</w:t>
                </w:r>
              </w:p>
            </w:tc>
          </w:sdtContent>
        </w:sdt>
      </w:tr>
      <w:tr w:rsidR="00007DB0" w:rsidRPr="00D164B6" w14:paraId="76E2CD04" w14:textId="77777777" w:rsidTr="00991FCB">
        <w:trPr>
          <w:trHeight w:val="579"/>
        </w:trPr>
        <w:tc>
          <w:tcPr>
            <w:tcW w:w="6345" w:type="dxa"/>
            <w:shd w:val="clear" w:color="auto" w:fill="auto"/>
            <w:vAlign w:val="center"/>
          </w:tcPr>
          <w:p w14:paraId="3F4B8A35" w14:textId="77777777"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14:paraId="5001FA0E" w14:textId="77777777" w:rsidR="00007DB0" w:rsidRPr="00464F8A" w:rsidRDefault="00916301" w:rsidP="00043C61">
                <w:pPr>
                  <w:rPr>
                    <w:rFonts w:cs="Times New Roman"/>
                    <w:szCs w:val="24"/>
                    <w:lang w:val="bg-BG"/>
                  </w:rPr>
                </w:pPr>
                <w:r>
                  <w:rPr>
                    <w:rFonts w:cs="Times New Roman"/>
                    <w:szCs w:val="24"/>
                    <w:lang w:val="bg-BG"/>
                  </w:rPr>
                  <w:t>Един семестър</w:t>
                </w:r>
              </w:p>
            </w:tc>
          </w:sdtContent>
        </w:sdt>
      </w:tr>
      <w:tr w:rsidR="00007DB0" w:rsidRPr="00D164B6" w14:paraId="2202D1F2" w14:textId="77777777" w:rsidTr="00991FCB">
        <w:trPr>
          <w:trHeight w:val="360"/>
        </w:trPr>
        <w:tc>
          <w:tcPr>
            <w:tcW w:w="6345" w:type="dxa"/>
            <w:shd w:val="clear" w:color="auto" w:fill="auto"/>
            <w:vAlign w:val="center"/>
          </w:tcPr>
          <w:p w14:paraId="75DFFBCD" w14:textId="77777777"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14:paraId="2CCBD04D" w14:textId="77777777" w:rsidR="00007DB0" w:rsidRPr="00464F8A" w:rsidRDefault="00916301" w:rsidP="00043C61">
                <w:pPr>
                  <w:rPr>
                    <w:rFonts w:cs="Times New Roman"/>
                    <w:szCs w:val="24"/>
                    <w:lang w:val="bg-BG"/>
                  </w:rPr>
                </w:pPr>
                <w:r>
                  <w:rPr>
                    <w:rFonts w:cs="Times New Roman"/>
                    <w:szCs w:val="24"/>
                    <w:lang w:val="bg-BG"/>
                  </w:rPr>
                  <w:t>Лекции</w:t>
                </w:r>
              </w:p>
            </w:tc>
          </w:sdtContent>
        </w:sdt>
      </w:tr>
      <w:tr w:rsidR="00007DB0" w:rsidRPr="00D164B6" w14:paraId="3068E303" w14:textId="77777777" w:rsidTr="00991FCB">
        <w:trPr>
          <w:trHeight w:val="483"/>
        </w:trPr>
        <w:tc>
          <w:tcPr>
            <w:tcW w:w="6345" w:type="dxa"/>
            <w:shd w:val="clear" w:color="auto" w:fill="auto"/>
            <w:vAlign w:val="center"/>
          </w:tcPr>
          <w:p w14:paraId="613CFEB0" w14:textId="77777777"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14:paraId="7C03949A" w14:textId="77777777" w:rsidR="00007DB0" w:rsidRPr="00464F8A" w:rsidRDefault="00916301" w:rsidP="00043C61">
                <w:pPr>
                  <w:rPr>
                    <w:rFonts w:cs="Times New Roman"/>
                    <w:szCs w:val="24"/>
                    <w:lang w:val="bg-BG"/>
                  </w:rPr>
                </w:pPr>
                <w:r>
                  <w:rPr>
                    <w:rFonts w:cs="Times New Roman"/>
                    <w:szCs w:val="24"/>
                    <w:lang w:val="bg-BG"/>
                  </w:rPr>
                  <w:t>Не</w:t>
                </w:r>
              </w:p>
            </w:tc>
          </w:sdtContent>
        </w:sdt>
      </w:tr>
      <w:tr w:rsidR="00A0317A" w:rsidRPr="00D164B6" w14:paraId="7EA291BD" w14:textId="77777777" w:rsidTr="00991FCB">
        <w:trPr>
          <w:trHeight w:val="408"/>
        </w:trPr>
        <w:tc>
          <w:tcPr>
            <w:tcW w:w="6345" w:type="dxa"/>
            <w:shd w:val="clear" w:color="auto" w:fill="auto"/>
            <w:vAlign w:val="center"/>
          </w:tcPr>
          <w:p w14:paraId="42D9C8B9" w14:textId="77777777"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14:paraId="37F64ADB" w14:textId="77777777" w:rsidR="00A0317A" w:rsidRPr="00464F8A" w:rsidRDefault="00916301" w:rsidP="00043C61">
                <w:pPr>
                  <w:rPr>
                    <w:rFonts w:cs="Times New Roman"/>
                    <w:szCs w:val="24"/>
                    <w:lang w:val="bg-BG"/>
                  </w:rPr>
                </w:pPr>
                <w:r>
                  <w:rPr>
                    <w:rFonts w:cs="Times New Roman"/>
                    <w:szCs w:val="24"/>
                    <w:lang w:val="bg-BG"/>
                  </w:rPr>
                  <w:t>Не</w:t>
                </w:r>
              </w:p>
            </w:tc>
          </w:sdtContent>
        </w:sdt>
      </w:tr>
      <w:tr w:rsidR="000D1387" w:rsidRPr="00336E2A" w14:paraId="602DDA5A" w14:textId="77777777" w:rsidTr="00991FCB">
        <w:trPr>
          <w:trHeight w:val="466"/>
        </w:trPr>
        <w:tc>
          <w:tcPr>
            <w:tcW w:w="6345" w:type="dxa"/>
            <w:vAlign w:val="center"/>
          </w:tcPr>
          <w:p w14:paraId="3DBE0C3A" w14:textId="77777777"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14:paraId="3EE7DD9E" w14:textId="2088A882" w:rsidR="000D1387" w:rsidRPr="00464F8A" w:rsidRDefault="00AB09DD" w:rsidP="00AB09DD">
                <w:pPr>
                  <w:rPr>
                    <w:rFonts w:cs="Times New Roman"/>
                    <w:szCs w:val="24"/>
                    <w:lang w:val="bg-BG" w:eastAsia="zh-TW"/>
                  </w:rPr>
                </w:pPr>
                <w:r>
                  <w:rPr>
                    <w:rFonts w:cs="Times New Roman"/>
                    <w:szCs w:val="24"/>
                  </w:rPr>
                  <w:t>30</w:t>
                </w:r>
              </w:p>
            </w:tc>
          </w:sdtContent>
        </w:sdt>
      </w:tr>
    </w:tbl>
    <w:p w14:paraId="5A1E945F" w14:textId="77777777" w:rsidR="000D1387" w:rsidRPr="00414430" w:rsidRDefault="000D1387" w:rsidP="004526E8">
      <w:pPr>
        <w:jc w:val="both"/>
        <w:rPr>
          <w:rFonts w:cs="Times New Roman"/>
          <w:b/>
          <w:szCs w:val="24"/>
          <w:lang w:val="bg-BG" w:eastAsia="zh-TW"/>
        </w:rPr>
      </w:pPr>
    </w:p>
    <w:p w14:paraId="622EED02" w14:textId="77777777"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rFonts w:eastAsia="Times New Roman" w:cs="Times New Roman"/>
          <w:sz w:val="22"/>
        </w:rPr>
        <w:id w:val="-845942361"/>
        <w:lock w:val="sdtLocked"/>
        <w:placeholder>
          <w:docPart w:val="8D450DEC8CC547AFBACEEDE34D4E0A60"/>
        </w:placeholder>
      </w:sdtPr>
      <w:sdtEndPr>
        <w:rPr>
          <w:lang w:val="bg-BG"/>
        </w:rPr>
      </w:sdtEndPr>
      <w:sdtContent>
        <w:p w14:paraId="3D47402A" w14:textId="77777777" w:rsidR="00D32702" w:rsidRPr="000903C6" w:rsidRDefault="00D32702" w:rsidP="00D32702">
          <w:pPr>
            <w:spacing w:after="0" w:line="240" w:lineRule="auto"/>
            <w:rPr>
              <w:b/>
              <w:sz w:val="28"/>
              <w:szCs w:val="28"/>
              <w:u w:val="single"/>
            </w:rPr>
          </w:pPr>
        </w:p>
        <w:p w14:paraId="483C63BF" w14:textId="77777777" w:rsidR="00336E2A" w:rsidRPr="00336E2A" w:rsidRDefault="00336E2A" w:rsidP="00336E2A">
          <w:pPr>
            <w:pStyle w:val="Bodytext20"/>
            <w:numPr>
              <w:ilvl w:val="0"/>
              <w:numId w:val="2"/>
            </w:numPr>
            <w:shd w:val="clear" w:color="auto" w:fill="auto"/>
            <w:tabs>
              <w:tab w:val="left" w:pos="348"/>
            </w:tabs>
            <w:spacing w:before="0" w:after="115" w:line="240" w:lineRule="exact"/>
            <w:rPr>
              <w:lang w:val="ru-RU"/>
            </w:rPr>
          </w:pPr>
          <w:r>
            <w:rPr>
              <w:color w:val="000000"/>
              <w:sz w:val="24"/>
              <w:szCs w:val="24"/>
              <w:lang w:val="bg-BG" w:eastAsia="bg-BG" w:bidi="bg-BG"/>
            </w:rPr>
            <w:t>Защитата на потребителя - исторически данни и развитие</w:t>
          </w:r>
        </w:p>
        <w:p w14:paraId="4FCB5EC4" w14:textId="77777777" w:rsidR="00336E2A" w:rsidRDefault="00336E2A" w:rsidP="00336E2A">
          <w:pPr>
            <w:pStyle w:val="Bodytext20"/>
            <w:numPr>
              <w:ilvl w:val="0"/>
              <w:numId w:val="2"/>
            </w:numPr>
            <w:shd w:val="clear" w:color="auto" w:fill="auto"/>
            <w:tabs>
              <w:tab w:val="left" w:pos="372"/>
            </w:tabs>
            <w:spacing w:before="0" w:after="124" w:line="329" w:lineRule="exact"/>
          </w:pPr>
          <w:r>
            <w:rPr>
              <w:color w:val="000000"/>
              <w:sz w:val="24"/>
              <w:szCs w:val="24"/>
              <w:lang w:val="bg-BG" w:eastAsia="bg-BG" w:bidi="bg-BG"/>
            </w:rPr>
            <w:t>Съвременно европейско и национално потребителско право. Източници - особености, действие, съотношения</w:t>
          </w:r>
        </w:p>
        <w:p w14:paraId="47FF70E0" w14:textId="77777777" w:rsidR="00336E2A" w:rsidRPr="00336E2A" w:rsidRDefault="00336E2A" w:rsidP="00336E2A">
          <w:pPr>
            <w:pStyle w:val="Bodytext20"/>
            <w:numPr>
              <w:ilvl w:val="0"/>
              <w:numId w:val="2"/>
            </w:numPr>
            <w:shd w:val="clear" w:color="auto" w:fill="auto"/>
            <w:tabs>
              <w:tab w:val="left" w:pos="376"/>
            </w:tabs>
            <w:spacing w:before="0" w:after="187" w:line="324" w:lineRule="exact"/>
            <w:rPr>
              <w:lang w:val="ru-RU"/>
            </w:rPr>
          </w:pPr>
          <w:r>
            <w:rPr>
              <w:color w:val="000000"/>
              <w:sz w:val="24"/>
              <w:szCs w:val="24"/>
              <w:lang w:val="bg-BG" w:eastAsia="bg-BG" w:bidi="bg-BG"/>
            </w:rPr>
            <w:t>Основни понятия на потребителското право (потребител, търговец и доставчик и др.)</w:t>
          </w:r>
        </w:p>
        <w:p w14:paraId="2D9A1BE4" w14:textId="77777777" w:rsidR="00336E2A" w:rsidRPr="00336E2A" w:rsidRDefault="00336E2A" w:rsidP="00336E2A">
          <w:pPr>
            <w:pStyle w:val="Bodytext20"/>
            <w:numPr>
              <w:ilvl w:val="0"/>
              <w:numId w:val="2"/>
            </w:numPr>
            <w:shd w:val="clear" w:color="auto" w:fill="auto"/>
            <w:tabs>
              <w:tab w:val="left" w:pos="372"/>
            </w:tabs>
            <w:spacing w:before="0" w:after="114" w:line="240" w:lineRule="exact"/>
            <w:rPr>
              <w:lang w:val="ru-RU"/>
            </w:rPr>
          </w:pPr>
          <w:r>
            <w:rPr>
              <w:color w:val="000000"/>
              <w:sz w:val="24"/>
              <w:szCs w:val="24"/>
              <w:lang w:val="bg-BG" w:eastAsia="bg-BG" w:bidi="bg-BG"/>
            </w:rPr>
            <w:t>Държавни органи и организации за защита на потребителите.</w:t>
          </w:r>
        </w:p>
        <w:p w14:paraId="0C2CBD7E" w14:textId="77777777" w:rsidR="00336E2A" w:rsidRDefault="00336E2A" w:rsidP="00336E2A">
          <w:pPr>
            <w:pStyle w:val="Bodytext20"/>
            <w:numPr>
              <w:ilvl w:val="0"/>
              <w:numId w:val="2"/>
            </w:numPr>
            <w:shd w:val="clear" w:color="auto" w:fill="auto"/>
            <w:tabs>
              <w:tab w:val="left" w:pos="386"/>
            </w:tabs>
            <w:spacing w:before="0" w:after="187" w:line="324" w:lineRule="exact"/>
          </w:pPr>
          <w:r>
            <w:rPr>
              <w:color w:val="000000"/>
              <w:sz w:val="24"/>
              <w:szCs w:val="24"/>
              <w:lang w:val="bg-BG" w:eastAsia="bg-BG" w:bidi="bg-BG"/>
            </w:rPr>
            <w:t>Преддоговорна информация и етикетиране на продуктите. Други търговски практики</w:t>
          </w:r>
        </w:p>
        <w:p w14:paraId="2B6E3F13" w14:textId="77777777" w:rsidR="00336E2A" w:rsidRDefault="00336E2A" w:rsidP="00336E2A">
          <w:pPr>
            <w:pStyle w:val="Bodytext20"/>
            <w:numPr>
              <w:ilvl w:val="0"/>
              <w:numId w:val="2"/>
            </w:numPr>
            <w:shd w:val="clear" w:color="auto" w:fill="auto"/>
            <w:tabs>
              <w:tab w:val="left" w:pos="367"/>
            </w:tabs>
            <w:spacing w:before="0" w:after="181" w:line="240" w:lineRule="exact"/>
          </w:pPr>
          <w:r>
            <w:rPr>
              <w:color w:val="000000"/>
              <w:sz w:val="24"/>
              <w:szCs w:val="24"/>
              <w:lang w:val="bg-BG" w:eastAsia="bg-BG" w:bidi="bg-BG"/>
            </w:rPr>
            <w:t>Нелоялни търговски практики</w:t>
          </w:r>
        </w:p>
        <w:p w14:paraId="3F768D80" w14:textId="77777777" w:rsidR="00336E2A" w:rsidRPr="00336E2A" w:rsidRDefault="00336E2A" w:rsidP="00336E2A">
          <w:pPr>
            <w:pStyle w:val="Bodytext20"/>
            <w:numPr>
              <w:ilvl w:val="0"/>
              <w:numId w:val="2"/>
            </w:numPr>
            <w:shd w:val="clear" w:color="auto" w:fill="auto"/>
            <w:tabs>
              <w:tab w:val="left" w:pos="367"/>
            </w:tabs>
            <w:spacing w:before="0" w:after="114" w:line="240" w:lineRule="exact"/>
            <w:rPr>
              <w:lang w:val="ru-RU"/>
            </w:rPr>
          </w:pPr>
          <w:r>
            <w:rPr>
              <w:color w:val="000000"/>
              <w:sz w:val="24"/>
              <w:szCs w:val="24"/>
              <w:lang w:val="bg-BG" w:eastAsia="bg-BG" w:bidi="bg-BG"/>
            </w:rPr>
            <w:t>Потребителски договори. Обособеност на понятието и по-основни видове</w:t>
          </w:r>
        </w:p>
        <w:p w14:paraId="421F39EC" w14:textId="77777777" w:rsidR="00336E2A" w:rsidRPr="00336E2A" w:rsidRDefault="00336E2A" w:rsidP="00336E2A">
          <w:pPr>
            <w:pStyle w:val="Bodytext20"/>
            <w:numPr>
              <w:ilvl w:val="0"/>
              <w:numId w:val="2"/>
            </w:numPr>
            <w:shd w:val="clear" w:color="auto" w:fill="auto"/>
            <w:tabs>
              <w:tab w:val="left" w:pos="376"/>
            </w:tabs>
            <w:spacing w:before="0" w:after="116" w:line="324" w:lineRule="exact"/>
            <w:rPr>
              <w:lang w:val="ru-RU"/>
            </w:rPr>
          </w:pPr>
          <w:r>
            <w:rPr>
              <w:color w:val="000000"/>
              <w:sz w:val="24"/>
              <w:szCs w:val="24"/>
              <w:lang w:val="bg-BG" w:eastAsia="bg-BG" w:bidi="bg-BG"/>
            </w:rPr>
            <w:t>Права на потребителя - право на отказ от договор. Договори от разстояние и извън търговския обект</w:t>
          </w:r>
        </w:p>
        <w:p w14:paraId="42FDE515" w14:textId="77777777" w:rsidR="00336E2A" w:rsidRPr="00336E2A" w:rsidRDefault="00336E2A" w:rsidP="00336E2A">
          <w:pPr>
            <w:pStyle w:val="Bodytext20"/>
            <w:numPr>
              <w:ilvl w:val="0"/>
              <w:numId w:val="2"/>
            </w:numPr>
            <w:shd w:val="clear" w:color="auto" w:fill="auto"/>
            <w:tabs>
              <w:tab w:val="left" w:pos="372"/>
            </w:tabs>
            <w:spacing w:before="0" w:after="191" w:line="329" w:lineRule="exact"/>
            <w:rPr>
              <w:lang w:val="ru-RU"/>
            </w:rPr>
          </w:pPr>
          <w:r>
            <w:rPr>
              <w:color w:val="000000"/>
              <w:sz w:val="24"/>
              <w:szCs w:val="24"/>
              <w:lang w:val="bg-BG" w:eastAsia="bg-BG" w:bidi="bg-BG"/>
            </w:rPr>
            <w:t>Неравноправни клаузи в договорите с потребители - същност и правни последици</w:t>
          </w:r>
        </w:p>
        <w:p w14:paraId="214A2202" w14:textId="77777777" w:rsidR="00336E2A" w:rsidRDefault="00336E2A" w:rsidP="00336E2A">
          <w:pPr>
            <w:pStyle w:val="Bodytext20"/>
            <w:numPr>
              <w:ilvl w:val="0"/>
              <w:numId w:val="2"/>
            </w:numPr>
            <w:shd w:val="clear" w:color="auto" w:fill="auto"/>
            <w:tabs>
              <w:tab w:val="left" w:pos="481"/>
            </w:tabs>
            <w:spacing w:before="0" w:after="181" w:line="240" w:lineRule="exact"/>
          </w:pPr>
          <w:r>
            <w:rPr>
              <w:color w:val="000000"/>
              <w:sz w:val="24"/>
              <w:szCs w:val="24"/>
              <w:lang w:val="bg-BG" w:eastAsia="bg-BG" w:bidi="bg-BG"/>
            </w:rPr>
            <w:t>Отговорността за несъответствие с договора</w:t>
          </w:r>
        </w:p>
        <w:p w14:paraId="3407763A" w14:textId="77777777" w:rsidR="00336E2A" w:rsidRPr="00336E2A" w:rsidRDefault="00336E2A" w:rsidP="00336E2A">
          <w:pPr>
            <w:pStyle w:val="Bodytext20"/>
            <w:numPr>
              <w:ilvl w:val="0"/>
              <w:numId w:val="2"/>
            </w:numPr>
            <w:shd w:val="clear" w:color="auto" w:fill="auto"/>
            <w:tabs>
              <w:tab w:val="left" w:pos="481"/>
            </w:tabs>
            <w:spacing w:before="0" w:after="114" w:line="240" w:lineRule="exact"/>
            <w:rPr>
              <w:lang w:val="ru-RU"/>
            </w:rPr>
          </w:pPr>
          <w:r>
            <w:rPr>
              <w:color w:val="000000"/>
              <w:sz w:val="24"/>
              <w:szCs w:val="24"/>
              <w:lang w:val="bg-BG" w:eastAsia="bg-BG" w:bidi="bg-BG"/>
            </w:rPr>
            <w:t>Отговорността за вреди от дефект на стока</w:t>
          </w:r>
        </w:p>
        <w:p w14:paraId="1D4F5E32" w14:textId="77777777" w:rsidR="00336E2A" w:rsidRPr="00336E2A" w:rsidRDefault="00336E2A" w:rsidP="00336E2A">
          <w:pPr>
            <w:pStyle w:val="Bodytext20"/>
            <w:numPr>
              <w:ilvl w:val="0"/>
              <w:numId w:val="2"/>
            </w:numPr>
            <w:shd w:val="clear" w:color="auto" w:fill="auto"/>
            <w:tabs>
              <w:tab w:val="left" w:pos="510"/>
            </w:tabs>
            <w:spacing w:before="0" w:after="187" w:line="324" w:lineRule="exact"/>
            <w:rPr>
              <w:lang w:val="ru-RU"/>
            </w:rPr>
          </w:pPr>
          <w:r>
            <w:rPr>
              <w:color w:val="000000"/>
              <w:sz w:val="24"/>
              <w:szCs w:val="24"/>
              <w:lang w:val="bg-BG" w:eastAsia="bg-BG" w:bidi="bg-BG"/>
            </w:rPr>
            <w:t>Потребителски спорове. Помирителни комисии. Индивидуални и колективни искове за защита на потребителите</w:t>
          </w:r>
        </w:p>
        <w:p w14:paraId="08DD76D0" w14:textId="77777777" w:rsidR="00336E2A" w:rsidRDefault="00336E2A" w:rsidP="00336E2A">
          <w:pPr>
            <w:pStyle w:val="Bodytext20"/>
            <w:numPr>
              <w:ilvl w:val="0"/>
              <w:numId w:val="2"/>
            </w:numPr>
            <w:shd w:val="clear" w:color="auto" w:fill="auto"/>
            <w:tabs>
              <w:tab w:val="left" w:pos="481"/>
            </w:tabs>
            <w:spacing w:before="0" w:after="124" w:line="240" w:lineRule="exact"/>
          </w:pPr>
          <w:r>
            <w:rPr>
              <w:color w:val="000000"/>
              <w:sz w:val="24"/>
              <w:szCs w:val="24"/>
              <w:lang w:val="bg-BG" w:eastAsia="bg-BG" w:bidi="bg-BG"/>
            </w:rPr>
            <w:lastRenderedPageBreak/>
            <w:t>Национални потребителски сдружения</w:t>
          </w:r>
        </w:p>
        <w:p w14:paraId="00B73CF8" w14:textId="4C09B13D" w:rsidR="00DA6080" w:rsidRPr="00336E2A" w:rsidRDefault="00336E2A" w:rsidP="00336E2A">
          <w:pPr>
            <w:pStyle w:val="Bodytext20"/>
            <w:numPr>
              <w:ilvl w:val="0"/>
              <w:numId w:val="2"/>
            </w:numPr>
            <w:shd w:val="clear" w:color="auto" w:fill="auto"/>
            <w:tabs>
              <w:tab w:val="left" w:pos="510"/>
            </w:tabs>
            <w:spacing w:before="0" w:after="667" w:line="324" w:lineRule="exact"/>
            <w:rPr>
              <w:lang w:val="ru-RU"/>
            </w:rPr>
          </w:pPr>
          <w:r>
            <w:rPr>
              <w:color w:val="000000"/>
              <w:sz w:val="24"/>
              <w:szCs w:val="24"/>
              <w:lang w:val="bg-BG" w:eastAsia="bg-BG" w:bidi="bg-BG"/>
            </w:rPr>
            <w:t>Органи за алтернативно решаване на спорове (АРС) и Платформа за онлайн решаване на спорове (ОРС)</w:t>
          </w:r>
        </w:p>
      </w:sdtContent>
    </w:sdt>
    <w:p w14:paraId="10AA9C76" w14:textId="77777777" w:rsidR="00FF4CA3" w:rsidRDefault="00FF4CA3" w:rsidP="00DA6080">
      <w:pPr>
        <w:tabs>
          <w:tab w:val="left" w:pos="6900"/>
        </w:tabs>
        <w:rPr>
          <w:rFonts w:cs="Times New Roman"/>
          <w:b/>
          <w:szCs w:val="24"/>
          <w:lang w:val="bg-BG"/>
        </w:rPr>
      </w:pPr>
    </w:p>
    <w:p w14:paraId="7C410E57" w14:textId="77777777"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14:paraId="53D7DBDC" w14:textId="54D1354A" w:rsidR="00071625" w:rsidRDefault="00336E2A" w:rsidP="00336E2A">
          <w:pPr>
            <w:spacing w:after="0" w:line="240" w:lineRule="auto"/>
            <w:ind w:right="1027"/>
            <w:rPr>
              <w:rFonts w:cs="Times New Roman"/>
              <w:szCs w:val="24"/>
              <w:lang w:val="ru-RU"/>
            </w:rPr>
          </w:pPr>
          <w:r>
            <w:rPr>
              <w:rFonts w:cs="Times New Roman"/>
              <w:szCs w:val="24"/>
              <w:lang w:val="bg-BG"/>
            </w:rPr>
            <w:t xml:space="preserve">Закон за защита на потребителите - </w:t>
          </w:r>
          <w:r w:rsidRPr="00336E2A">
            <w:rPr>
              <w:rFonts w:cs="Times New Roman"/>
              <w:szCs w:val="24"/>
              <w:lang w:val="ru-RU"/>
            </w:rPr>
            <w:t>Обн., ДВ, бр. 99 от 9.12.2005 г., в сила от 10.06.2006 г.</w:t>
          </w:r>
        </w:p>
        <w:p w14:paraId="508DA3D5"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93 / 13 / ЕИО на Съвета от 5 април 1993 година относно неравноправните клаузи в потребителските договори</w:t>
          </w:r>
        </w:p>
        <w:p w14:paraId="64D306B5"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на Съвета от 25 юли 1985 година за сближаване на законовите, подзаконовите и административните разпоредби на държавите-членки относно отговорността за вреди, причинени от дефект на стока</w:t>
          </w:r>
        </w:p>
        <w:p w14:paraId="0EB52FEA"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на Съвета от 20 декември 1985 година относно защита на потребителите във връзка с договорите, сключени извън търговския обект</w:t>
          </w:r>
        </w:p>
        <w:p w14:paraId="57FBD589"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84 / 450 / ЕИО на Съвета от 10 септември 1984 година за сближаване на законовите, подзаконовите и административните разпоредби на държавите-членки, свързани със заблуждаваща реклама</w:t>
          </w:r>
        </w:p>
        <w:p w14:paraId="733BC514"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94 / 47 / ЕО на Европейския парламент и на Съвета от 26 октомври 1994 година относно защитата на купувачите с оглед на определени аспекти от договорите, свързани с придобиването на правото на временно ползване на недвижима собственост</w:t>
          </w:r>
        </w:p>
        <w:p w14:paraId="57048813"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Council Resolution of 1 December 2003 on safety of services for consumers</w:t>
          </w:r>
        </w:p>
        <w:p w14:paraId="63E52BD3"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2002 / 65 / ЕО на Европейския парламент и на Съвета от 23 септември 2002 година относно дистанционна търговия на потребителски финансови услуги и за изменение на Директива 90 / 619 / ЕИО на Съвета и на Директиви 97 / 7 / ЕО и 98 / 27 / ЕО</w:t>
          </w:r>
        </w:p>
        <w:p w14:paraId="69CF1F35"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98 / 6 / EО на Европейския парламент и на Съвета от 16 февруари 1998 година относно защитата на потребителите при обозначаването на цените на стоките, предлагани на потребителите</w:t>
          </w:r>
        </w:p>
        <w:p w14:paraId="49ED2120"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98 / 27 / ЕО на Европейския парламент и на Съвета от 19 май 1998 година относно исковете за преустановяване на нарушения с цел защита на интересите на потребителите</w:t>
          </w:r>
        </w:p>
        <w:p w14:paraId="291C9F8B"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1999 / 44 / ЕО на Европейския парламент и на Съвета от 25 май 1999 година относно някои аспекти на продажбата на потребителски стоки и свързаните с тях гаранции</w:t>
          </w:r>
        </w:p>
        <w:p w14:paraId="4A2165F2"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97 / 55 / EО на Европейския парламент и на Съвета от 6 октомври 1997 година за изменение на Директива 84 / 450 / EИО относно заблуждаващата реклама с цел да се обхване сравнителната реклама</w:t>
          </w:r>
        </w:p>
        <w:p w14:paraId="7E50D591" w14:textId="77777777" w:rsidR="00336E2A" w:rsidRP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97 / 7 / EО на Европейския парламент и на Съвета от 20 май 1997 година относно защитата на потребителя по отношение на договорите от разстояние</w:t>
          </w:r>
        </w:p>
        <w:p w14:paraId="579DDF56" w14:textId="7E1E2803" w:rsidR="00336E2A" w:rsidRDefault="00336E2A" w:rsidP="00336E2A">
          <w:pPr>
            <w:spacing w:after="0" w:line="240" w:lineRule="auto"/>
            <w:ind w:right="1027"/>
            <w:rPr>
              <w:rFonts w:cs="Times New Roman"/>
              <w:szCs w:val="24"/>
              <w:lang w:val="bg-BG"/>
            </w:rPr>
          </w:pPr>
          <w:r w:rsidRPr="00336E2A">
            <w:rPr>
              <w:rFonts w:cs="Times New Roman"/>
              <w:szCs w:val="24"/>
              <w:lang w:val="bg-BG"/>
            </w:rPr>
            <w:t>ДИРЕКТИВА 2001 / 95 / ЕО НА ЕВРОПЕЙСКИЯ ПАРЛАМЕНТ И НА СЪВЕТА от 3 декември 2001 година относно общата безопасност на продуктите</w:t>
          </w:r>
        </w:p>
      </w:sdtContent>
    </w:sdt>
    <w:p w14:paraId="1B1A796A" w14:textId="77777777" w:rsidR="00584CAD" w:rsidRDefault="00584CAD" w:rsidP="003D64E1">
      <w:pPr>
        <w:rPr>
          <w:rFonts w:cs="Times New Roman"/>
          <w:b/>
          <w:szCs w:val="24"/>
          <w:lang w:val="bg-BG" w:eastAsia="zh-TW"/>
        </w:rPr>
      </w:pPr>
    </w:p>
    <w:p w14:paraId="61B09FF6" w14:textId="77777777"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14:paraId="4FF59302" w14:textId="77777777"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1B158A1F" w14:textId="77777777" w:rsidR="00FB1D2B" w:rsidRPr="00CD1EBE" w:rsidRDefault="002E7042" w:rsidP="00FB1D2B">
          <w:pPr>
            <w:jc w:val="both"/>
            <w:rPr>
              <w:rFonts w:cs="Times New Roman"/>
              <w:szCs w:val="24"/>
              <w:lang w:val="bg-BG"/>
            </w:rPr>
          </w:pPr>
          <w:r>
            <w:rPr>
              <w:rFonts w:cs="Times New Roman"/>
              <w:szCs w:val="24"/>
              <w:lang w:val="bg-BG"/>
            </w:rPr>
            <w:t>Не се провежда текущо оценяване</w:t>
          </w:r>
        </w:p>
      </w:sdtContent>
    </w:sdt>
    <w:p w14:paraId="24608B4C" w14:textId="77777777" w:rsidR="00FF4CA3" w:rsidRDefault="00FF4CA3" w:rsidP="00AE1971">
      <w:pPr>
        <w:rPr>
          <w:rFonts w:cs="Times New Roman"/>
          <w:szCs w:val="24"/>
          <w:lang w:val="bg-BG"/>
        </w:rPr>
      </w:pPr>
    </w:p>
    <w:p w14:paraId="26CCB9C1" w14:textId="77777777"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14:paraId="16FEDE1C" w14:textId="77777777" w:rsidR="007356CE" w:rsidRDefault="002E7042"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14:paraId="4A9B861A" w14:textId="77777777" w:rsidR="0089661E" w:rsidRDefault="00407C97" w:rsidP="007819E1">
          <w:pPr>
            <w:jc w:val="both"/>
            <w:rPr>
              <w:rFonts w:cs="Times New Roman"/>
              <w:szCs w:val="24"/>
              <w:lang w:val="bg-BG"/>
            </w:rPr>
          </w:pPr>
          <w:r>
            <w:t xml:space="preserve"> </w:t>
          </w:r>
        </w:p>
      </w:sdtContent>
    </w:sdt>
    <w:p w14:paraId="4B747A8C" w14:textId="77777777" w:rsidR="00100BC6" w:rsidRPr="00100BC6" w:rsidRDefault="00100BC6" w:rsidP="00321ED2">
      <w:pPr>
        <w:tabs>
          <w:tab w:val="left" w:pos="7695"/>
        </w:tabs>
        <w:rPr>
          <w:rFonts w:cs="Times New Roman"/>
          <w:sz w:val="10"/>
          <w:szCs w:val="10"/>
          <w:lang w:val="bg-BG"/>
        </w:rPr>
      </w:pPr>
    </w:p>
    <w:p w14:paraId="4E8E244D" w14:textId="77777777"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14:paraId="3E1376D7" w14:textId="77777777" w:rsidR="00071625" w:rsidRDefault="002E7042" w:rsidP="00FF4CA3">
          <w:pPr>
            <w:jc w:val="both"/>
            <w:rPr>
              <w:rFonts w:cs="Times New Roman"/>
              <w:szCs w:val="24"/>
              <w:lang w:val="bg-BG"/>
            </w:rPr>
          </w:pPr>
          <w:r>
            <w:rPr>
              <w:rFonts w:cs="Times New Roman"/>
              <w:szCs w:val="24"/>
              <w:lang w:val="bg-BG"/>
            </w:rPr>
            <w:t>Писмен изпит</w:t>
          </w:r>
          <w:r w:rsidR="00D529CA">
            <w:rPr>
              <w:rFonts w:cs="Times New Roman"/>
              <w:szCs w:val="24"/>
              <w:lang w:val="bg-BG"/>
            </w:rPr>
            <w:t>: Самостоятелно изготвяне на  писмени материала по предварително поставени задачи</w:t>
          </w:r>
        </w:p>
      </w:sdtContent>
    </w:sdt>
    <w:p w14:paraId="0BC2D9EB" w14:textId="77777777"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14:paraId="4D2ECE9B" w14:textId="77777777"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14:paraId="17B90008" w14:textId="4D6DFBF7" w:rsidR="00DA6080" w:rsidRDefault="00336E2A" w:rsidP="00FF4CA3">
          <w:pPr>
            <w:jc w:val="both"/>
            <w:rPr>
              <w:rFonts w:cs="Times New Roman"/>
              <w:szCs w:val="24"/>
              <w:lang w:val="bg-BG"/>
            </w:rPr>
          </w:pPr>
          <w:r>
            <w:rPr>
              <w:rFonts w:cs="Times New Roman"/>
              <w:szCs w:val="24"/>
              <w:lang w:val="bg-BG"/>
            </w:rPr>
            <w:t xml:space="preserve">Оценяването се базира на изготвените от студента писмени материали по предварително поставени задачи. </w:t>
          </w:r>
        </w:p>
      </w:sdtContent>
    </w:sdt>
    <w:p w14:paraId="2F42DFB7" w14:textId="77777777" w:rsidR="00DA6080" w:rsidRDefault="00DA6080">
      <w:pPr>
        <w:rPr>
          <w:rFonts w:cs="Times New Roman"/>
          <w:szCs w:val="24"/>
          <w:lang w:val="bg-BG"/>
        </w:rPr>
      </w:pPr>
    </w:p>
    <w:p w14:paraId="338D3AC9" w14:textId="77777777"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14:paraId="4C14F98D" w14:textId="77777777" w:rsidR="00DA511D" w:rsidRDefault="002E7042" w:rsidP="00470C68">
          <w:pPr>
            <w:jc w:val="both"/>
            <w:rPr>
              <w:rFonts w:cs="Times New Roman"/>
              <w:szCs w:val="24"/>
              <w:lang w:val="bg-BG"/>
            </w:rPr>
          </w:pPr>
          <w:r>
            <w:rPr>
              <w:rFonts w:cs="Times New Roman"/>
              <w:szCs w:val="24"/>
              <w:lang w:val="bg-BG"/>
            </w:rPr>
            <w:t>Не се поставят особени изисквания</w:t>
          </w:r>
        </w:p>
      </w:sdtContent>
    </w:sdt>
    <w:p w14:paraId="5BB66977" w14:textId="77777777" w:rsidR="00DA511D" w:rsidRPr="00DA511D" w:rsidRDefault="00DA511D">
      <w:pPr>
        <w:rPr>
          <w:rFonts w:cs="Times New Roman"/>
          <w:szCs w:val="24"/>
          <w:lang w:val="bg-BG"/>
        </w:rPr>
      </w:pPr>
    </w:p>
    <w:p w14:paraId="7FF8F2DD" w14:textId="77777777"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14:paraId="0C89F310" w14:textId="77777777" w:rsidR="00676627" w:rsidRDefault="00676627" w:rsidP="00E8078F">
      <w:pPr>
        <w:tabs>
          <w:tab w:val="left" w:pos="1500"/>
        </w:tabs>
        <w:jc w:val="both"/>
        <w:rPr>
          <w:rFonts w:cs="Times New Roman"/>
          <w:sz w:val="20"/>
          <w:szCs w:val="20"/>
          <w:lang w:val="bg-BG"/>
        </w:rPr>
      </w:pPr>
    </w:p>
    <w:p w14:paraId="233E5A25"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2A151329"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058CDDF2"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082B3C6C" w14:textId="77777777"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7DB9B4DA" w14:textId="77777777" w:rsidR="00E8078F" w:rsidRPr="00E8078F" w:rsidRDefault="00E8078F" w:rsidP="00E8078F">
      <w:pPr>
        <w:tabs>
          <w:tab w:val="left" w:pos="1500"/>
        </w:tabs>
        <w:jc w:val="both"/>
        <w:rPr>
          <w:rFonts w:cs="Times New Roman"/>
          <w:sz w:val="20"/>
          <w:szCs w:val="20"/>
          <w:lang w:val="bg-BG"/>
        </w:rPr>
      </w:pPr>
    </w:p>
    <w:p w14:paraId="585C032F"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5CF302CE"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71BF85C7" w14:textId="77777777"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9908" w14:textId="77777777" w:rsidR="00736695" w:rsidRDefault="00736695" w:rsidP="00F44CAE">
      <w:pPr>
        <w:spacing w:after="0" w:line="240" w:lineRule="auto"/>
      </w:pPr>
      <w:r>
        <w:separator/>
      </w:r>
    </w:p>
  </w:endnote>
  <w:endnote w:type="continuationSeparator" w:id="0">
    <w:p w14:paraId="4CA91487" w14:textId="77777777" w:rsidR="00736695" w:rsidRDefault="00736695"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A945" w14:textId="191206FE" w:rsidR="00DC03AF" w:rsidRDefault="00DC03AF">
    <w:pPr>
      <w:pStyle w:val="Footer"/>
      <w:jc w:val="right"/>
    </w:pPr>
    <w:r>
      <w:fldChar w:fldCharType="begin"/>
    </w:r>
    <w:r>
      <w:instrText xml:space="preserve"> PAGE   \* MERGEFORMAT </w:instrText>
    </w:r>
    <w:r>
      <w:fldChar w:fldCharType="separate"/>
    </w:r>
    <w:r w:rsidR="00AB09DD">
      <w:rPr>
        <w:noProof/>
      </w:rPr>
      <w:t>3</w:t>
    </w:r>
    <w:r>
      <w:rPr>
        <w:noProof/>
      </w:rPr>
      <w:fldChar w:fldCharType="end"/>
    </w:r>
  </w:p>
  <w:p w14:paraId="648D9381" w14:textId="77777777"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1A81" w14:textId="77777777" w:rsidR="00736695" w:rsidRDefault="00736695" w:rsidP="00F44CAE">
      <w:pPr>
        <w:spacing w:after="0" w:line="240" w:lineRule="auto"/>
      </w:pPr>
      <w:r>
        <w:separator/>
      </w:r>
    </w:p>
  </w:footnote>
  <w:footnote w:type="continuationSeparator" w:id="0">
    <w:p w14:paraId="41A3AEF1" w14:textId="77777777" w:rsidR="00736695" w:rsidRDefault="00736695"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C7E6" w14:textId="77777777"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14:paraId="0E247F8D" w14:textId="77777777"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F288C"/>
    <w:multiLevelType w:val="multilevel"/>
    <w:tmpl w:val="60A86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82331"/>
    <w:multiLevelType w:val="hybridMultilevel"/>
    <w:tmpl w:val="3342BFE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0622"/>
    <w:rsid w:val="00043C61"/>
    <w:rsid w:val="0005345F"/>
    <w:rsid w:val="00056504"/>
    <w:rsid w:val="000576A9"/>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100BC6"/>
    <w:rsid w:val="001101B4"/>
    <w:rsid w:val="00135FE0"/>
    <w:rsid w:val="00177D18"/>
    <w:rsid w:val="00181310"/>
    <w:rsid w:val="00192797"/>
    <w:rsid w:val="001D2ED5"/>
    <w:rsid w:val="00211F99"/>
    <w:rsid w:val="00214378"/>
    <w:rsid w:val="002840A7"/>
    <w:rsid w:val="002B7CE6"/>
    <w:rsid w:val="002C0A7A"/>
    <w:rsid w:val="002C4AD0"/>
    <w:rsid w:val="002C6022"/>
    <w:rsid w:val="002D3E7D"/>
    <w:rsid w:val="002D6CC3"/>
    <w:rsid w:val="002E0F9B"/>
    <w:rsid w:val="002E7042"/>
    <w:rsid w:val="003010E4"/>
    <w:rsid w:val="003021D8"/>
    <w:rsid w:val="00310CD1"/>
    <w:rsid w:val="00316E9B"/>
    <w:rsid w:val="00321ED2"/>
    <w:rsid w:val="00332A0B"/>
    <w:rsid w:val="00336E2A"/>
    <w:rsid w:val="00347FDC"/>
    <w:rsid w:val="003542E7"/>
    <w:rsid w:val="00356090"/>
    <w:rsid w:val="00375136"/>
    <w:rsid w:val="00380F5A"/>
    <w:rsid w:val="003812A2"/>
    <w:rsid w:val="0039054A"/>
    <w:rsid w:val="003935BC"/>
    <w:rsid w:val="003947E3"/>
    <w:rsid w:val="003B43BD"/>
    <w:rsid w:val="003C17CE"/>
    <w:rsid w:val="003D64E1"/>
    <w:rsid w:val="003D741F"/>
    <w:rsid w:val="003E037F"/>
    <w:rsid w:val="003E3B14"/>
    <w:rsid w:val="003F0818"/>
    <w:rsid w:val="003F1EC7"/>
    <w:rsid w:val="003F724E"/>
    <w:rsid w:val="00407C97"/>
    <w:rsid w:val="00414430"/>
    <w:rsid w:val="00415661"/>
    <w:rsid w:val="00425277"/>
    <w:rsid w:val="0043635B"/>
    <w:rsid w:val="004526E8"/>
    <w:rsid w:val="004620CC"/>
    <w:rsid w:val="00464F8A"/>
    <w:rsid w:val="00470C68"/>
    <w:rsid w:val="004D3203"/>
    <w:rsid w:val="00501E47"/>
    <w:rsid w:val="00507968"/>
    <w:rsid w:val="00513BF8"/>
    <w:rsid w:val="005202A0"/>
    <w:rsid w:val="0052579D"/>
    <w:rsid w:val="005346A5"/>
    <w:rsid w:val="00555F07"/>
    <w:rsid w:val="00570CB7"/>
    <w:rsid w:val="00572AC1"/>
    <w:rsid w:val="005803A9"/>
    <w:rsid w:val="00584CAD"/>
    <w:rsid w:val="005A0E57"/>
    <w:rsid w:val="005C0A93"/>
    <w:rsid w:val="005C3027"/>
    <w:rsid w:val="005C5478"/>
    <w:rsid w:val="005C5662"/>
    <w:rsid w:val="005E760D"/>
    <w:rsid w:val="005F23E3"/>
    <w:rsid w:val="005F2C7E"/>
    <w:rsid w:val="0061481C"/>
    <w:rsid w:val="00623BF7"/>
    <w:rsid w:val="006243CF"/>
    <w:rsid w:val="00642600"/>
    <w:rsid w:val="0066260D"/>
    <w:rsid w:val="00666EDD"/>
    <w:rsid w:val="006725FA"/>
    <w:rsid w:val="00676627"/>
    <w:rsid w:val="0068766E"/>
    <w:rsid w:val="006C5A07"/>
    <w:rsid w:val="006D1B7C"/>
    <w:rsid w:val="006D3DE5"/>
    <w:rsid w:val="006E2E8D"/>
    <w:rsid w:val="006F0822"/>
    <w:rsid w:val="007165F4"/>
    <w:rsid w:val="00731E53"/>
    <w:rsid w:val="007356CE"/>
    <w:rsid w:val="00736019"/>
    <w:rsid w:val="00736695"/>
    <w:rsid w:val="00737259"/>
    <w:rsid w:val="00744FC0"/>
    <w:rsid w:val="00752B05"/>
    <w:rsid w:val="007815D2"/>
    <w:rsid w:val="007819E1"/>
    <w:rsid w:val="007A0916"/>
    <w:rsid w:val="007A1176"/>
    <w:rsid w:val="007A4D7F"/>
    <w:rsid w:val="007B6F3D"/>
    <w:rsid w:val="007B74F5"/>
    <w:rsid w:val="007B7BFA"/>
    <w:rsid w:val="007C6027"/>
    <w:rsid w:val="007D45D4"/>
    <w:rsid w:val="007D7EF5"/>
    <w:rsid w:val="007F478E"/>
    <w:rsid w:val="00810FE2"/>
    <w:rsid w:val="00822EBB"/>
    <w:rsid w:val="00841FB1"/>
    <w:rsid w:val="0085135C"/>
    <w:rsid w:val="00855C8A"/>
    <w:rsid w:val="00857E98"/>
    <w:rsid w:val="00873624"/>
    <w:rsid w:val="00883A22"/>
    <w:rsid w:val="00895B34"/>
    <w:rsid w:val="0089661E"/>
    <w:rsid w:val="008B54CC"/>
    <w:rsid w:val="008D05AB"/>
    <w:rsid w:val="008E751F"/>
    <w:rsid w:val="008F0F81"/>
    <w:rsid w:val="0090153B"/>
    <w:rsid w:val="00916301"/>
    <w:rsid w:val="009243DB"/>
    <w:rsid w:val="00933241"/>
    <w:rsid w:val="00940CE1"/>
    <w:rsid w:val="00947A8E"/>
    <w:rsid w:val="009731DA"/>
    <w:rsid w:val="00986211"/>
    <w:rsid w:val="00991FCB"/>
    <w:rsid w:val="009A2BCF"/>
    <w:rsid w:val="009B7BE8"/>
    <w:rsid w:val="009D0362"/>
    <w:rsid w:val="00A0317A"/>
    <w:rsid w:val="00A067CA"/>
    <w:rsid w:val="00A1071D"/>
    <w:rsid w:val="00A12DB5"/>
    <w:rsid w:val="00A13408"/>
    <w:rsid w:val="00A376EE"/>
    <w:rsid w:val="00A47FA0"/>
    <w:rsid w:val="00A537B3"/>
    <w:rsid w:val="00A60E64"/>
    <w:rsid w:val="00A63168"/>
    <w:rsid w:val="00A6764E"/>
    <w:rsid w:val="00AA5772"/>
    <w:rsid w:val="00AB09DD"/>
    <w:rsid w:val="00AB479D"/>
    <w:rsid w:val="00AE1197"/>
    <w:rsid w:val="00AE1971"/>
    <w:rsid w:val="00AF630C"/>
    <w:rsid w:val="00B30F5F"/>
    <w:rsid w:val="00B5145B"/>
    <w:rsid w:val="00B55DDF"/>
    <w:rsid w:val="00B74543"/>
    <w:rsid w:val="00B84BD1"/>
    <w:rsid w:val="00BB39F1"/>
    <w:rsid w:val="00BB4183"/>
    <w:rsid w:val="00BB46B0"/>
    <w:rsid w:val="00BB5D8B"/>
    <w:rsid w:val="00BC05DB"/>
    <w:rsid w:val="00BC65D0"/>
    <w:rsid w:val="00BE604E"/>
    <w:rsid w:val="00C055AC"/>
    <w:rsid w:val="00C13420"/>
    <w:rsid w:val="00C2057F"/>
    <w:rsid w:val="00C232C6"/>
    <w:rsid w:val="00C2538E"/>
    <w:rsid w:val="00C444CA"/>
    <w:rsid w:val="00C548DB"/>
    <w:rsid w:val="00C55811"/>
    <w:rsid w:val="00C639B7"/>
    <w:rsid w:val="00C8772F"/>
    <w:rsid w:val="00C946C5"/>
    <w:rsid w:val="00CA0569"/>
    <w:rsid w:val="00CA0EE2"/>
    <w:rsid w:val="00CA14A1"/>
    <w:rsid w:val="00CA635B"/>
    <w:rsid w:val="00CA6B2B"/>
    <w:rsid w:val="00CC3313"/>
    <w:rsid w:val="00CD1EBE"/>
    <w:rsid w:val="00CE0848"/>
    <w:rsid w:val="00CF10B5"/>
    <w:rsid w:val="00D154C9"/>
    <w:rsid w:val="00D164B6"/>
    <w:rsid w:val="00D2164B"/>
    <w:rsid w:val="00D32702"/>
    <w:rsid w:val="00D529CA"/>
    <w:rsid w:val="00D53379"/>
    <w:rsid w:val="00D8312C"/>
    <w:rsid w:val="00D93D5D"/>
    <w:rsid w:val="00DA4C1C"/>
    <w:rsid w:val="00DA511D"/>
    <w:rsid w:val="00DA6080"/>
    <w:rsid w:val="00DB542E"/>
    <w:rsid w:val="00DC03AF"/>
    <w:rsid w:val="00DC226A"/>
    <w:rsid w:val="00DD2770"/>
    <w:rsid w:val="00E00141"/>
    <w:rsid w:val="00E13E48"/>
    <w:rsid w:val="00E35777"/>
    <w:rsid w:val="00E362FE"/>
    <w:rsid w:val="00E6188C"/>
    <w:rsid w:val="00E77D13"/>
    <w:rsid w:val="00E8078F"/>
    <w:rsid w:val="00E86621"/>
    <w:rsid w:val="00EA4996"/>
    <w:rsid w:val="00EA4F74"/>
    <w:rsid w:val="00EC5C70"/>
    <w:rsid w:val="00ED49C0"/>
    <w:rsid w:val="00F02E4A"/>
    <w:rsid w:val="00F070E8"/>
    <w:rsid w:val="00F44525"/>
    <w:rsid w:val="00F44CAE"/>
    <w:rsid w:val="00F63600"/>
    <w:rsid w:val="00F63964"/>
    <w:rsid w:val="00F6730A"/>
    <w:rsid w:val="00F725F0"/>
    <w:rsid w:val="00F74427"/>
    <w:rsid w:val="00F749CE"/>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1D4C"/>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customStyle="1" w:styleId="Title1">
    <w:name w:val="Title1"/>
    <w:basedOn w:val="Normal"/>
    <w:rsid w:val="00A376EE"/>
    <w:pPr>
      <w:spacing w:before="100" w:beforeAutospacing="1" w:after="100" w:afterAutospacing="1" w:line="240" w:lineRule="auto"/>
      <w:contextualSpacing w:val="0"/>
    </w:pPr>
    <w:rPr>
      <w:rFonts w:eastAsia="Times New Roman" w:cs="Times New Roman"/>
      <w:szCs w:val="24"/>
      <w:lang w:val="bg-BG" w:eastAsia="bg-BG"/>
    </w:rPr>
  </w:style>
  <w:style w:type="character" w:customStyle="1" w:styleId="Bodytext2">
    <w:name w:val="Body text (2)_"/>
    <w:basedOn w:val="DefaultParagraphFont"/>
    <w:link w:val="Bodytext20"/>
    <w:rsid w:val="00336E2A"/>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336E2A"/>
    <w:pPr>
      <w:widowControl w:val="0"/>
      <w:shd w:val="clear" w:color="auto" w:fill="FFFFFF"/>
      <w:spacing w:before="360" w:after="240" w:line="0" w:lineRule="atLeast"/>
      <w:contextualSpacing w:val="0"/>
      <w:jc w:val="both"/>
    </w:pPr>
    <w:rPr>
      <w:rFonts w:eastAsia="Times New Roman" w:cs="Times New Roman"/>
      <w:sz w:val="22"/>
    </w:rPr>
  </w:style>
  <w:style w:type="character" w:styleId="Hyperlink">
    <w:name w:val="Hyperlink"/>
    <w:basedOn w:val="DefaultParagraphFont"/>
    <w:uiPriority w:val="99"/>
    <w:unhideWhenUsed/>
    <w:rsid w:val="00336E2A"/>
    <w:rPr>
      <w:color w:val="0000FF" w:themeColor="hyperlink"/>
      <w:u w:val="single"/>
    </w:rPr>
  </w:style>
  <w:style w:type="character" w:customStyle="1" w:styleId="UnresolvedMention">
    <w:name w:val="Unresolved Mention"/>
    <w:basedOn w:val="DefaultParagraphFont"/>
    <w:uiPriority w:val="99"/>
    <w:semiHidden/>
    <w:unhideWhenUsed/>
    <w:rsid w:val="0033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051">
      <w:bodyDiv w:val="1"/>
      <w:marLeft w:val="0"/>
      <w:marRight w:val="0"/>
      <w:marTop w:val="0"/>
      <w:marBottom w:val="0"/>
      <w:divBdr>
        <w:top w:val="none" w:sz="0" w:space="0" w:color="auto"/>
        <w:left w:val="none" w:sz="0" w:space="0" w:color="auto"/>
        <w:bottom w:val="none" w:sz="0" w:space="0" w:color="auto"/>
        <w:right w:val="none" w:sz="0" w:space="0" w:color="auto"/>
      </w:divBdr>
    </w:div>
    <w:div w:id="1455948043">
      <w:bodyDiv w:val="1"/>
      <w:marLeft w:val="0"/>
      <w:marRight w:val="0"/>
      <w:marTop w:val="0"/>
      <w:marBottom w:val="0"/>
      <w:divBdr>
        <w:top w:val="none" w:sz="0" w:space="0" w:color="auto"/>
        <w:left w:val="none" w:sz="0" w:space="0" w:color="auto"/>
        <w:bottom w:val="none" w:sz="0" w:space="0" w:color="auto"/>
        <w:right w:val="none" w:sz="0" w:space="0" w:color="auto"/>
      </w:divBdr>
    </w:div>
    <w:div w:id="1517503927">
      <w:bodyDiv w:val="1"/>
      <w:marLeft w:val="0"/>
      <w:marRight w:val="0"/>
      <w:marTop w:val="0"/>
      <w:marBottom w:val="0"/>
      <w:divBdr>
        <w:top w:val="none" w:sz="0" w:space="0" w:color="auto"/>
        <w:left w:val="none" w:sz="0" w:space="0" w:color="auto"/>
        <w:bottom w:val="none" w:sz="0" w:space="0" w:color="auto"/>
        <w:right w:val="none" w:sz="0" w:space="0" w:color="auto"/>
      </w:divBdr>
      <w:divsChild>
        <w:div w:id="103986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40622"/>
    <w:rsid w:val="00045F9A"/>
    <w:rsid w:val="00091611"/>
    <w:rsid w:val="000D0058"/>
    <w:rsid w:val="000E2C70"/>
    <w:rsid w:val="000F4F1D"/>
    <w:rsid w:val="00191C29"/>
    <w:rsid w:val="002415D3"/>
    <w:rsid w:val="0024550E"/>
    <w:rsid w:val="002C6487"/>
    <w:rsid w:val="002F2A23"/>
    <w:rsid w:val="003B224E"/>
    <w:rsid w:val="003F6567"/>
    <w:rsid w:val="00455EAE"/>
    <w:rsid w:val="00456F3E"/>
    <w:rsid w:val="004D4026"/>
    <w:rsid w:val="00524337"/>
    <w:rsid w:val="00527D16"/>
    <w:rsid w:val="00541A3C"/>
    <w:rsid w:val="005B1EB5"/>
    <w:rsid w:val="005D122A"/>
    <w:rsid w:val="0061629A"/>
    <w:rsid w:val="00643605"/>
    <w:rsid w:val="00674C49"/>
    <w:rsid w:val="006E202E"/>
    <w:rsid w:val="007179EF"/>
    <w:rsid w:val="00754A85"/>
    <w:rsid w:val="007E4911"/>
    <w:rsid w:val="007F44A7"/>
    <w:rsid w:val="00836EED"/>
    <w:rsid w:val="00854F1F"/>
    <w:rsid w:val="008D22E9"/>
    <w:rsid w:val="00942EC5"/>
    <w:rsid w:val="009A1CF8"/>
    <w:rsid w:val="009E4E02"/>
    <w:rsid w:val="00A4743F"/>
    <w:rsid w:val="00A555F1"/>
    <w:rsid w:val="00A908FB"/>
    <w:rsid w:val="00A92941"/>
    <w:rsid w:val="00AE0D7F"/>
    <w:rsid w:val="00B3644C"/>
    <w:rsid w:val="00B40FB1"/>
    <w:rsid w:val="00BA3784"/>
    <w:rsid w:val="00C35A82"/>
    <w:rsid w:val="00CA6C0F"/>
    <w:rsid w:val="00D323B8"/>
    <w:rsid w:val="00D70D61"/>
    <w:rsid w:val="00D76E75"/>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39AC-2763-4868-A9C7-5731FB71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896</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Кристиан Райчев</dc:creator>
  <cp:lastModifiedBy>Ани Х. Павлова</cp:lastModifiedBy>
  <cp:revision>2</cp:revision>
  <dcterms:created xsi:type="dcterms:W3CDTF">2025-03-19T07:23:00Z</dcterms:created>
  <dcterms:modified xsi:type="dcterms:W3CDTF">2025-03-19T07:23:00Z</dcterms:modified>
</cp:coreProperties>
</file>