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1D968" w14:textId="77777777" w:rsidR="00AE1971" w:rsidRPr="00AE1971" w:rsidRDefault="00AE1971" w:rsidP="00AE1971">
      <w:pPr>
        <w:tabs>
          <w:tab w:val="left" w:pos="2385"/>
          <w:tab w:val="center" w:pos="4680"/>
        </w:tabs>
        <w:rPr>
          <w:rFonts w:cs="Times New Roman"/>
          <w:b/>
          <w:szCs w:val="24"/>
          <w:lang w:val="bg-BG"/>
        </w:rPr>
      </w:pPr>
      <w:bookmarkStart w:id="0" w:name="_GoBack"/>
      <w:bookmarkEnd w:id="0"/>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Fonts w:ascii="Arial" w:eastAsia="Times New Roman" w:hAnsi="Arial" w:cs="Arial"/>
          <w:b/>
          <w:sz w:val="26"/>
          <w:szCs w:val="26"/>
          <w:lang w:val="en-GB" w:eastAsia="bg-BG"/>
        </w:rPr>
        <w:id w:val="1129429719"/>
        <w:lock w:val="sdtLocked"/>
        <w:placeholder>
          <w:docPart w:val="1CE92F02F6ED495EA188391495254E96"/>
        </w:placeholder>
        <w:text/>
      </w:sdtPr>
      <w:sdtEndPr/>
      <w:sdtContent>
        <w:p w14:paraId="2BAE6823" w14:textId="46D0A462" w:rsidR="00AE1971" w:rsidRPr="00AE1971" w:rsidRDefault="003206D2" w:rsidP="00AE1971">
          <w:pPr>
            <w:tabs>
              <w:tab w:val="left" w:pos="5370"/>
            </w:tabs>
            <w:jc w:val="center"/>
            <w:rPr>
              <w:rFonts w:cs="Times New Roman"/>
              <w:szCs w:val="24"/>
              <w:lang w:val="bg-BG"/>
            </w:rPr>
          </w:pPr>
          <w:r w:rsidRPr="003206D2">
            <w:rPr>
              <w:rFonts w:ascii="Arial" w:eastAsia="Times New Roman" w:hAnsi="Arial" w:cs="Arial"/>
              <w:b/>
              <w:sz w:val="26"/>
              <w:szCs w:val="26"/>
              <w:lang w:val="en-GB" w:eastAsia="bg-BG"/>
            </w:rPr>
            <w:t>НЕСЪСТОЯТЕЛНОСТ</w:t>
          </w:r>
          <w:r w:rsidR="00604CA0">
            <w:rPr>
              <w:rFonts w:ascii="Arial" w:eastAsia="Times New Roman" w:hAnsi="Arial" w:cs="Arial"/>
              <w:b/>
              <w:sz w:val="26"/>
              <w:szCs w:val="26"/>
              <w:lang w:val="en-GB" w:eastAsia="bg-BG"/>
            </w:rPr>
            <w:t xml:space="preserve"> 2024 </w:t>
          </w:r>
          <w:r w:rsidR="00604CA0">
            <w:rPr>
              <w:rFonts w:ascii="Arial" w:eastAsia="Times New Roman" w:hAnsi="Arial" w:cs="Arial"/>
              <w:b/>
              <w:sz w:val="26"/>
              <w:szCs w:val="26"/>
              <w:lang w:val="bg-BG" w:eastAsia="bg-BG"/>
            </w:rPr>
            <w:t>–</w:t>
          </w:r>
          <w:r w:rsidR="00604CA0">
            <w:rPr>
              <w:rFonts w:ascii="Arial" w:eastAsia="Times New Roman" w:hAnsi="Arial" w:cs="Arial"/>
              <w:b/>
              <w:sz w:val="26"/>
              <w:szCs w:val="26"/>
              <w:lang w:val="en-GB" w:eastAsia="bg-BG"/>
            </w:rPr>
            <w:t xml:space="preserve"> 2025</w:t>
          </w:r>
          <w:r w:rsidR="00604CA0">
            <w:rPr>
              <w:rFonts w:ascii="Arial" w:eastAsia="Times New Roman" w:hAnsi="Arial" w:cs="Arial"/>
              <w:b/>
              <w:sz w:val="26"/>
              <w:szCs w:val="26"/>
              <w:lang w:val="bg-BG" w:eastAsia="bg-BG"/>
            </w:rPr>
            <w:t xml:space="preserve"> г.</w:t>
          </w:r>
        </w:p>
      </w:sdtContent>
    </w:sdt>
    <w:p w14:paraId="5CDDDC35" w14:textId="77777777" w:rsidR="00AE1971" w:rsidRPr="00AE1971" w:rsidRDefault="00AE1971" w:rsidP="00AE1971">
      <w:pPr>
        <w:tabs>
          <w:tab w:val="left" w:pos="5370"/>
        </w:tabs>
        <w:rPr>
          <w:rFonts w:cs="Times New Roman"/>
          <w:szCs w:val="24"/>
          <w:lang w:val="bg-BG"/>
        </w:rPr>
      </w:pPr>
    </w:p>
    <w:p w14:paraId="4655C0C2" w14:textId="77777777"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14:paraId="5F20F939" w14:textId="77777777" w:rsidTr="00991FCB">
        <w:tc>
          <w:tcPr>
            <w:tcW w:w="6345" w:type="dxa"/>
            <w:vAlign w:val="center"/>
          </w:tcPr>
          <w:p w14:paraId="62D0B4B5" w14:textId="77777777"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Специалност</w:t>
            </w:r>
          </w:p>
        </w:tc>
        <w:tc>
          <w:tcPr>
            <w:tcW w:w="3686" w:type="dxa"/>
            <w:vAlign w:val="center"/>
          </w:tcPr>
          <w:p w14:paraId="7BB1629C" w14:textId="77777777"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14:paraId="6228A767" w14:textId="77777777" w:rsidTr="00991FCB">
        <w:trPr>
          <w:trHeight w:val="419"/>
        </w:trPr>
        <w:tc>
          <w:tcPr>
            <w:tcW w:w="6345" w:type="dxa"/>
            <w:vAlign w:val="center"/>
          </w:tcPr>
          <w:p w14:paraId="0F05F7F8" w14:textId="77777777"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14:paraId="7306AD06" w14:textId="77777777" w:rsidR="000D1387" w:rsidRPr="00464F8A" w:rsidRDefault="003206D2" w:rsidP="00043C61">
                <w:pPr>
                  <w:tabs>
                    <w:tab w:val="left" w:pos="5370"/>
                  </w:tabs>
                  <w:contextualSpacing w:val="0"/>
                  <w:rPr>
                    <w:rFonts w:cs="Times New Roman"/>
                    <w:szCs w:val="24"/>
                    <w:lang w:val="bg-BG" w:eastAsia="zh-TW"/>
                  </w:rPr>
                </w:pPr>
                <w:r>
                  <w:rPr>
                    <w:rFonts w:cs="Times New Roman"/>
                    <w:szCs w:val="24"/>
                    <w:lang w:val="bg-BG"/>
                  </w:rPr>
                  <w:t>Редовна и задочна</w:t>
                </w:r>
              </w:p>
            </w:tc>
          </w:sdtContent>
        </w:sdt>
      </w:tr>
      <w:tr w:rsidR="00A0317A" w:rsidRPr="00D164B6" w14:paraId="3B25B185" w14:textId="77777777" w:rsidTr="00991FCB">
        <w:trPr>
          <w:trHeight w:val="544"/>
        </w:trPr>
        <w:tc>
          <w:tcPr>
            <w:tcW w:w="6345" w:type="dxa"/>
            <w:shd w:val="clear" w:color="auto" w:fill="auto"/>
            <w:vAlign w:val="center"/>
          </w:tcPr>
          <w:p w14:paraId="4CAB0DBB" w14:textId="77777777"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14:paraId="593AADAD" w14:textId="77777777" w:rsidR="00A0317A" w:rsidRPr="00464F8A" w:rsidRDefault="003206D2" w:rsidP="00007DB0">
                <w:pPr>
                  <w:rPr>
                    <w:rFonts w:cs="Times New Roman"/>
                    <w:szCs w:val="24"/>
                    <w:lang w:val="bg-BG"/>
                  </w:rPr>
                </w:pPr>
                <w:r>
                  <w:rPr>
                    <w:rFonts w:cs="Times New Roman"/>
                    <w:szCs w:val="24"/>
                    <w:lang w:val="bg-BG"/>
                  </w:rPr>
                  <w:t>Задължителна</w:t>
                </w:r>
              </w:p>
            </w:tc>
          </w:sdtContent>
        </w:sdt>
      </w:tr>
      <w:tr w:rsidR="00FB1B8F" w:rsidRPr="00D164B6" w14:paraId="51AD6A4C" w14:textId="77777777" w:rsidTr="00991FCB">
        <w:trPr>
          <w:trHeight w:val="70"/>
        </w:trPr>
        <w:tc>
          <w:tcPr>
            <w:tcW w:w="6345" w:type="dxa"/>
            <w:shd w:val="clear" w:color="auto" w:fill="auto"/>
            <w:vAlign w:val="center"/>
          </w:tcPr>
          <w:p w14:paraId="301815D5" w14:textId="77777777"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14:paraId="270A500A" w14:textId="77777777" w:rsidR="00FB1B8F" w:rsidRPr="00464F8A" w:rsidRDefault="003206D2" w:rsidP="003206D2">
                <w:pPr>
                  <w:rPr>
                    <w:rFonts w:cs="Times New Roman"/>
                    <w:szCs w:val="24"/>
                    <w:lang w:val="bg-BG"/>
                  </w:rPr>
                </w:pPr>
                <w:r>
                  <w:rPr>
                    <w:rFonts w:cs="Times New Roman"/>
                    <w:szCs w:val="24"/>
                    <w:lang w:val="bg-BG"/>
                  </w:rPr>
                  <w:t>проф. д-р Григор Григоров</w:t>
                </w:r>
              </w:p>
            </w:tc>
          </w:sdtContent>
        </w:sdt>
      </w:tr>
      <w:tr w:rsidR="00007DB0" w:rsidRPr="00D164B6" w14:paraId="27F94532" w14:textId="77777777" w:rsidTr="00991FCB">
        <w:trPr>
          <w:trHeight w:val="579"/>
        </w:trPr>
        <w:tc>
          <w:tcPr>
            <w:tcW w:w="6345" w:type="dxa"/>
            <w:shd w:val="clear" w:color="auto" w:fill="auto"/>
            <w:vAlign w:val="center"/>
          </w:tcPr>
          <w:p w14:paraId="04D3B736" w14:textId="77777777"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14:paraId="49283EAD" w14:textId="77777777" w:rsidR="00007DB0" w:rsidRPr="00464F8A" w:rsidRDefault="003206D2" w:rsidP="00043C61">
                <w:pPr>
                  <w:rPr>
                    <w:rFonts w:cs="Times New Roman"/>
                    <w:szCs w:val="24"/>
                    <w:lang w:val="bg-BG"/>
                  </w:rPr>
                </w:pPr>
                <w:r>
                  <w:rPr>
                    <w:rFonts w:cs="Times New Roman"/>
                    <w:szCs w:val="24"/>
                    <w:lang w:val="bg-BG"/>
                  </w:rPr>
                  <w:t>Един семестър</w:t>
                </w:r>
              </w:p>
            </w:tc>
          </w:sdtContent>
        </w:sdt>
      </w:tr>
      <w:tr w:rsidR="00007DB0" w:rsidRPr="00D164B6" w14:paraId="0D35E6C4" w14:textId="77777777" w:rsidTr="00991FCB">
        <w:trPr>
          <w:trHeight w:val="360"/>
        </w:trPr>
        <w:tc>
          <w:tcPr>
            <w:tcW w:w="6345" w:type="dxa"/>
            <w:shd w:val="clear" w:color="auto" w:fill="auto"/>
            <w:vAlign w:val="center"/>
          </w:tcPr>
          <w:p w14:paraId="20E05A8B" w14:textId="77777777"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14:paraId="59FE55FE" w14:textId="77777777" w:rsidR="00007DB0" w:rsidRPr="00464F8A" w:rsidRDefault="003206D2" w:rsidP="00043C61">
                <w:pPr>
                  <w:rPr>
                    <w:rFonts w:cs="Times New Roman"/>
                    <w:szCs w:val="24"/>
                    <w:lang w:val="bg-BG"/>
                  </w:rPr>
                </w:pPr>
                <w:r>
                  <w:rPr>
                    <w:rFonts w:cs="Times New Roman"/>
                    <w:szCs w:val="24"/>
                    <w:lang w:val="bg-BG"/>
                  </w:rPr>
                  <w:t>Лекции и упражнения</w:t>
                </w:r>
              </w:p>
            </w:tc>
          </w:sdtContent>
        </w:sdt>
      </w:tr>
      <w:tr w:rsidR="00007DB0" w:rsidRPr="00D164B6" w14:paraId="24CF75FD" w14:textId="77777777" w:rsidTr="00991FCB">
        <w:trPr>
          <w:trHeight w:val="483"/>
        </w:trPr>
        <w:tc>
          <w:tcPr>
            <w:tcW w:w="6345" w:type="dxa"/>
            <w:shd w:val="clear" w:color="auto" w:fill="auto"/>
            <w:vAlign w:val="center"/>
          </w:tcPr>
          <w:p w14:paraId="67E2997C" w14:textId="77777777"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14:paraId="7B27114B" w14:textId="77777777" w:rsidR="00007DB0" w:rsidRPr="00464F8A" w:rsidRDefault="003206D2" w:rsidP="00043C61">
                <w:pPr>
                  <w:rPr>
                    <w:rFonts w:cs="Times New Roman"/>
                    <w:szCs w:val="24"/>
                    <w:lang w:val="bg-BG"/>
                  </w:rPr>
                </w:pPr>
                <w:r>
                  <w:rPr>
                    <w:rFonts w:cs="Times New Roman"/>
                    <w:szCs w:val="24"/>
                    <w:lang w:val="bg-BG"/>
                  </w:rPr>
                  <w:t>Да</w:t>
                </w:r>
              </w:p>
            </w:tc>
          </w:sdtContent>
        </w:sdt>
      </w:tr>
      <w:tr w:rsidR="00A0317A" w:rsidRPr="00D164B6" w14:paraId="245BD0F7" w14:textId="77777777" w:rsidTr="00991FCB">
        <w:trPr>
          <w:trHeight w:val="408"/>
        </w:trPr>
        <w:tc>
          <w:tcPr>
            <w:tcW w:w="6345" w:type="dxa"/>
            <w:shd w:val="clear" w:color="auto" w:fill="auto"/>
            <w:vAlign w:val="center"/>
          </w:tcPr>
          <w:p w14:paraId="45EE3B9C" w14:textId="77777777"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14:paraId="5F719B33" w14:textId="77777777" w:rsidR="00A0317A" w:rsidRPr="00464F8A" w:rsidRDefault="005A4673" w:rsidP="00043C61">
                <w:pPr>
                  <w:rPr>
                    <w:rFonts w:cs="Times New Roman"/>
                    <w:szCs w:val="24"/>
                    <w:lang w:val="bg-BG"/>
                  </w:rPr>
                </w:pPr>
                <w:r>
                  <w:rPr>
                    <w:rFonts w:cs="Times New Roman"/>
                    <w:szCs w:val="24"/>
                    <w:lang w:val="bg-BG"/>
                  </w:rPr>
                  <w:t>Да</w:t>
                </w:r>
              </w:p>
            </w:tc>
          </w:sdtContent>
        </w:sdt>
      </w:tr>
      <w:tr w:rsidR="000D1387" w:rsidRPr="00D164B6" w14:paraId="0F32B83F" w14:textId="77777777" w:rsidTr="00991FCB">
        <w:trPr>
          <w:trHeight w:val="466"/>
        </w:trPr>
        <w:tc>
          <w:tcPr>
            <w:tcW w:w="6345" w:type="dxa"/>
            <w:vAlign w:val="center"/>
          </w:tcPr>
          <w:p w14:paraId="716C5A9C" w14:textId="77777777"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14:paraId="64DD0C6E" w14:textId="77777777" w:rsidR="000D1387" w:rsidRPr="00464F8A" w:rsidRDefault="003206D2" w:rsidP="003206D2">
                <w:pPr>
                  <w:rPr>
                    <w:rFonts w:cs="Times New Roman"/>
                    <w:szCs w:val="24"/>
                    <w:lang w:val="bg-BG" w:eastAsia="zh-TW"/>
                  </w:rPr>
                </w:pPr>
                <w:r>
                  <w:rPr>
                    <w:rFonts w:cs="Times New Roman"/>
                    <w:szCs w:val="24"/>
                    <w:lang w:val="bg-BG"/>
                  </w:rPr>
                  <w:t>180/117</w:t>
                </w:r>
              </w:p>
            </w:tc>
          </w:sdtContent>
        </w:sdt>
      </w:tr>
    </w:tbl>
    <w:p w14:paraId="27D30C06" w14:textId="77777777" w:rsidR="000D1387" w:rsidRPr="00414430" w:rsidRDefault="000D1387" w:rsidP="004526E8">
      <w:pPr>
        <w:jc w:val="both"/>
        <w:rPr>
          <w:rFonts w:cs="Times New Roman"/>
          <w:b/>
          <w:szCs w:val="24"/>
          <w:lang w:val="bg-BG" w:eastAsia="zh-TW"/>
        </w:rPr>
      </w:pPr>
    </w:p>
    <w:p w14:paraId="6681126D" w14:textId="77777777"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rFonts w:cs="Times New Roman"/>
          <w:b/>
          <w:szCs w:val="24"/>
          <w:lang w:val="bg-BG"/>
        </w:rPr>
      </w:sdtEndPr>
      <w:sdtContent>
        <w:p w14:paraId="5C4609D5" w14:textId="77777777" w:rsidR="00E627B0" w:rsidRPr="00E2398E" w:rsidRDefault="00E627B0" w:rsidP="00E627B0">
          <w:pPr>
            <w:spacing w:before="120"/>
            <w:jc w:val="both"/>
            <w:rPr>
              <w:b/>
              <w:bCs/>
            </w:rPr>
          </w:pPr>
          <w:r w:rsidRPr="00E2398E">
            <w:rPr>
              <w:b/>
              <w:bCs/>
            </w:rPr>
            <w:t>Несъстоятелност –</w:t>
          </w:r>
          <w:r w:rsidRPr="00E2398E">
            <w:rPr>
              <w:b/>
              <w:bCs/>
              <w:lang w:val="bg-BG"/>
            </w:rPr>
            <w:t xml:space="preserve"> общи положения</w:t>
          </w:r>
          <w:r w:rsidRPr="00E2398E">
            <w:rPr>
              <w:b/>
              <w:bCs/>
            </w:rPr>
            <w:t>:</w:t>
          </w:r>
        </w:p>
        <w:p w14:paraId="00694BCD" w14:textId="05F416A9" w:rsidR="00FF1996" w:rsidRDefault="00FF1996" w:rsidP="00FF1996">
          <w:pPr>
            <w:spacing w:before="120"/>
            <w:jc w:val="both"/>
          </w:pPr>
          <w:r>
            <w:t>1.</w:t>
          </w:r>
          <w:r>
            <w:rPr>
              <w:lang w:val="bg-BG"/>
            </w:rPr>
            <w:t xml:space="preserve"> </w:t>
          </w:r>
          <w:r>
            <w:t xml:space="preserve">Понятие. Несъстоятелността като обективно право. Източници на правната уредба. </w:t>
          </w:r>
        </w:p>
        <w:p w14:paraId="628D95BE" w14:textId="77777777" w:rsidR="00FF1996" w:rsidRDefault="00FF1996" w:rsidP="00FF1996">
          <w:pPr>
            <w:spacing w:before="120"/>
            <w:jc w:val="both"/>
          </w:pPr>
          <w:r>
            <w:t>2.</w:t>
          </w:r>
          <w:r>
            <w:rPr>
              <w:lang w:val="bg-BG"/>
            </w:rPr>
            <w:t xml:space="preserve"> </w:t>
          </w:r>
          <w:r>
            <w:t xml:space="preserve">Несъстоятелността като производство - понятие, особености. </w:t>
          </w:r>
        </w:p>
        <w:p w14:paraId="6CB68E0C" w14:textId="61C2F4ED" w:rsidR="00FF1996" w:rsidRDefault="00FF1996" w:rsidP="00FF1996">
          <w:pPr>
            <w:spacing w:before="120"/>
            <w:jc w:val="both"/>
          </w:pPr>
          <w:r>
            <w:t>3. Цели</w:t>
          </w:r>
          <w:r w:rsidR="00604CA0">
            <w:rPr>
              <w:lang w:val="bg-BG"/>
            </w:rPr>
            <w:t xml:space="preserve"> и</w:t>
          </w:r>
          <w:r>
            <w:t xml:space="preserve"> фаз</w:t>
          </w:r>
          <w:r w:rsidR="00604CA0">
            <w:rPr>
              <w:lang w:val="bg-BG"/>
            </w:rPr>
            <w:t xml:space="preserve">и </w:t>
          </w:r>
          <w:r>
            <w:t xml:space="preserve">на производството. </w:t>
          </w:r>
        </w:p>
        <w:p w14:paraId="6572C99C" w14:textId="4C95E70D" w:rsidR="00604CA0" w:rsidRPr="00604CA0" w:rsidRDefault="00FF1996" w:rsidP="00FF1996">
          <w:pPr>
            <w:spacing w:before="120"/>
            <w:jc w:val="both"/>
            <w:rPr>
              <w:lang w:val="bg-BG"/>
            </w:rPr>
          </w:pPr>
          <w:r>
            <w:t xml:space="preserve">4. </w:t>
          </w:r>
          <w:r w:rsidR="00604CA0">
            <w:rPr>
              <w:lang w:val="bg-BG"/>
            </w:rPr>
            <w:t>Принципи на производството.</w:t>
          </w:r>
        </w:p>
        <w:p w14:paraId="327445A4" w14:textId="58C5DE18" w:rsidR="00FF1996" w:rsidRDefault="00604CA0" w:rsidP="00FF1996">
          <w:pPr>
            <w:spacing w:before="120"/>
            <w:jc w:val="both"/>
            <w:rPr>
              <w:lang w:val="bg-BG"/>
            </w:rPr>
          </w:pPr>
          <w:r>
            <w:rPr>
              <w:lang w:val="bg-BG"/>
            </w:rPr>
            <w:t>5. </w:t>
          </w:r>
          <w:r w:rsidR="00FF1996">
            <w:t>Съпоставка с изпълнителните производства по ГПК и ДОПК. Несъстоятелност и ликвидация.</w:t>
          </w:r>
          <w:r w:rsidR="00FF1996">
            <w:rPr>
              <w:lang w:val="bg-BG"/>
            </w:rPr>
            <w:t xml:space="preserve"> </w:t>
          </w:r>
        </w:p>
        <w:p w14:paraId="2DC34F5C" w14:textId="77777777" w:rsidR="00E83CE6" w:rsidRPr="00E83CE6" w:rsidRDefault="00E83CE6" w:rsidP="00E83CE6">
          <w:pPr>
            <w:spacing w:before="120"/>
            <w:jc w:val="both"/>
            <w:rPr>
              <w:b/>
              <w:bCs/>
            </w:rPr>
          </w:pPr>
          <w:r w:rsidRPr="00E83CE6">
            <w:rPr>
              <w:b/>
              <w:bCs/>
            </w:rPr>
            <w:t>Материални основания за откриване на производство по несъстоятелност:</w:t>
          </w:r>
        </w:p>
        <w:p w14:paraId="73417602" w14:textId="6B7A2704" w:rsidR="00FF1996" w:rsidRDefault="00065364" w:rsidP="00FF1996">
          <w:pPr>
            <w:spacing w:before="120"/>
            <w:jc w:val="both"/>
          </w:pPr>
          <w:r>
            <w:rPr>
              <w:lang w:val="bg-BG"/>
            </w:rPr>
            <w:t>6</w:t>
          </w:r>
          <w:r w:rsidR="00FF1996">
            <w:t xml:space="preserve">. Търговско качество. Откриване на производството за нетърговци. Търговци, за които не се открива производство по несъстоятелност. </w:t>
          </w:r>
        </w:p>
        <w:p w14:paraId="31592409" w14:textId="1A6FA199" w:rsidR="00FF1996" w:rsidRDefault="00065364" w:rsidP="00FF1996">
          <w:pPr>
            <w:spacing w:before="120"/>
            <w:jc w:val="both"/>
          </w:pPr>
          <w:r>
            <w:rPr>
              <w:lang w:val="bg-BG"/>
            </w:rPr>
            <w:t>7</w:t>
          </w:r>
          <w:r w:rsidR="00FF1996">
            <w:t>. Неплатежоспособност на търговеца.</w:t>
          </w:r>
        </w:p>
        <w:p w14:paraId="259E9FC6" w14:textId="77777777" w:rsidR="00065364" w:rsidRDefault="00065364" w:rsidP="00FF1996">
          <w:pPr>
            <w:spacing w:before="120"/>
            <w:jc w:val="both"/>
            <w:rPr>
              <w:lang w:val="bg-BG"/>
            </w:rPr>
          </w:pPr>
          <w:r>
            <w:rPr>
              <w:lang w:val="bg-BG"/>
            </w:rPr>
            <w:t>8</w:t>
          </w:r>
          <w:r w:rsidR="00FF1996">
            <w:t xml:space="preserve">. Презумпции за неплатежоспособност. </w:t>
          </w:r>
        </w:p>
        <w:p w14:paraId="43C84A1B" w14:textId="7525EC30" w:rsidR="00FF1996" w:rsidRDefault="00065364" w:rsidP="00FF1996">
          <w:pPr>
            <w:spacing w:before="120"/>
            <w:jc w:val="both"/>
          </w:pPr>
          <w:r>
            <w:rPr>
              <w:lang w:val="bg-BG"/>
            </w:rPr>
            <w:t>9. </w:t>
          </w:r>
          <w:r w:rsidR="00FF1996">
            <w:t>Свръхзадълженост на капиталово ТД.</w:t>
          </w:r>
        </w:p>
        <w:p w14:paraId="75CFC9AB" w14:textId="15C2C9D5" w:rsidR="00FF1996" w:rsidRDefault="00065364" w:rsidP="00FF1996">
          <w:pPr>
            <w:spacing w:before="120"/>
            <w:jc w:val="both"/>
            <w:rPr>
              <w:lang w:val="bg-BG"/>
            </w:rPr>
          </w:pPr>
          <w:r>
            <w:rPr>
              <w:lang w:val="bg-BG"/>
            </w:rPr>
            <w:t>10</w:t>
          </w:r>
          <w:r w:rsidR="00FF1996">
            <w:t>.</w:t>
          </w:r>
          <w:r>
            <w:rPr>
              <w:lang w:val="bg-BG"/>
            </w:rPr>
            <w:t> </w:t>
          </w:r>
          <w:r w:rsidR="00FF1996">
            <w:t>Особени основания за откриване на производство по несъстоятелност за скрит съучастник, за неограничено отговорен съдружник, за починал или заличен от търговския регистър едноличен търговец или неограничено отговорен съдружник</w:t>
          </w:r>
          <w:r>
            <w:rPr>
              <w:lang w:val="bg-BG"/>
            </w:rPr>
            <w:t xml:space="preserve"> и за предприемач</w:t>
          </w:r>
          <w:r w:rsidR="00FF1996">
            <w:t>.</w:t>
          </w:r>
          <w:r w:rsidR="00FF1996">
            <w:rPr>
              <w:lang w:val="bg-BG"/>
            </w:rPr>
            <w:t xml:space="preserve"> </w:t>
          </w:r>
        </w:p>
        <w:p w14:paraId="3F78997C" w14:textId="416C0025" w:rsidR="00FF1996" w:rsidRPr="00056F5A" w:rsidRDefault="00056F5A" w:rsidP="00FF1996">
          <w:pPr>
            <w:spacing w:before="120"/>
            <w:jc w:val="both"/>
            <w:rPr>
              <w:b/>
              <w:bCs/>
              <w:lang w:val="bg-BG"/>
            </w:rPr>
          </w:pPr>
          <w:r w:rsidRPr="00E2398E">
            <w:rPr>
              <w:b/>
              <w:bCs/>
            </w:rPr>
            <w:t>Кредитори и маса на несъстоятелността:</w:t>
          </w:r>
        </w:p>
        <w:p w14:paraId="0AEBB79F" w14:textId="699EA8A9" w:rsidR="00604CA0" w:rsidRDefault="00065364" w:rsidP="00FF1996">
          <w:pPr>
            <w:spacing w:before="120"/>
            <w:jc w:val="both"/>
            <w:rPr>
              <w:lang w:val="bg-BG"/>
            </w:rPr>
          </w:pPr>
          <w:r>
            <w:rPr>
              <w:lang w:val="bg-BG"/>
            </w:rPr>
            <w:t>11</w:t>
          </w:r>
          <w:r w:rsidR="00FF1996">
            <w:t>. Кредитори на несъстоятелността – понятие</w:t>
          </w:r>
          <w:r w:rsidR="00604CA0">
            <w:rPr>
              <w:lang w:val="bg-BG"/>
            </w:rPr>
            <w:t>, значение</w:t>
          </w:r>
          <w:r w:rsidR="00FF1996">
            <w:t xml:space="preserve">. </w:t>
          </w:r>
        </w:p>
        <w:p w14:paraId="10A50756" w14:textId="0EF35A28" w:rsidR="00FF1996" w:rsidRDefault="00604CA0" w:rsidP="00FF1996">
          <w:pPr>
            <w:spacing w:before="120"/>
            <w:jc w:val="both"/>
          </w:pPr>
          <w:r>
            <w:rPr>
              <w:lang w:val="bg-BG"/>
            </w:rPr>
            <w:t>1</w:t>
          </w:r>
          <w:r w:rsidR="00065364">
            <w:rPr>
              <w:lang w:val="bg-BG"/>
            </w:rPr>
            <w:t>2</w:t>
          </w:r>
          <w:r>
            <w:rPr>
              <w:lang w:val="bg-BG"/>
            </w:rPr>
            <w:t xml:space="preserve">. </w:t>
          </w:r>
          <w:r w:rsidR="00FF1996">
            <w:t>Видове кредитори.</w:t>
          </w:r>
        </w:p>
        <w:p w14:paraId="26172731" w14:textId="4C781242" w:rsidR="00FF1996" w:rsidRDefault="00065364" w:rsidP="00FF1996">
          <w:pPr>
            <w:spacing w:before="120"/>
            <w:jc w:val="both"/>
            <w:rPr>
              <w:lang w:val="bg-BG"/>
            </w:rPr>
          </w:pPr>
          <w:r>
            <w:rPr>
              <w:lang w:val="bg-BG"/>
            </w:rPr>
            <w:t>13</w:t>
          </w:r>
          <w:r w:rsidR="00FF1996">
            <w:t>. Маса на несъстоятелността - понятие, състав, значение.</w:t>
          </w:r>
          <w:r w:rsidR="00FF1996">
            <w:rPr>
              <w:lang w:val="bg-BG"/>
            </w:rPr>
            <w:t xml:space="preserve"> </w:t>
          </w:r>
        </w:p>
        <w:p w14:paraId="25B1D748" w14:textId="77777777" w:rsidR="00925FBD" w:rsidRPr="00925FBD" w:rsidRDefault="00925FBD" w:rsidP="00925FBD">
          <w:pPr>
            <w:spacing w:before="120"/>
            <w:jc w:val="both"/>
            <w:rPr>
              <w:b/>
              <w:bCs/>
            </w:rPr>
          </w:pPr>
          <w:r w:rsidRPr="00925FBD">
            <w:rPr>
              <w:b/>
              <w:bCs/>
            </w:rPr>
            <w:t xml:space="preserve">Органи </w:t>
          </w:r>
          <w:r w:rsidRPr="00925FBD">
            <w:rPr>
              <w:b/>
              <w:bCs/>
              <w:lang w:val="bg-BG"/>
            </w:rPr>
            <w:t>в</w:t>
          </w:r>
          <w:r w:rsidRPr="00925FBD">
            <w:rPr>
              <w:b/>
              <w:bCs/>
            </w:rPr>
            <w:t xml:space="preserve"> производството по несъстоятелност:</w:t>
          </w:r>
        </w:p>
        <w:p w14:paraId="6FEE57F9" w14:textId="77777777" w:rsidR="00925FBD" w:rsidRDefault="00925FBD" w:rsidP="00FF1996">
          <w:pPr>
            <w:spacing w:before="120"/>
            <w:jc w:val="both"/>
            <w:rPr>
              <w:lang w:val="bg-BG"/>
            </w:rPr>
          </w:pPr>
        </w:p>
        <w:p w14:paraId="043F105D" w14:textId="086B2974" w:rsidR="00FF1996" w:rsidRDefault="00FF1996" w:rsidP="00FF1996">
          <w:pPr>
            <w:spacing w:before="120"/>
            <w:jc w:val="both"/>
          </w:pPr>
          <w:r>
            <w:t>1</w:t>
          </w:r>
          <w:r w:rsidR="00065364">
            <w:rPr>
              <w:lang w:val="bg-BG"/>
            </w:rPr>
            <w:t>4</w:t>
          </w:r>
          <w:r>
            <w:t>.</w:t>
          </w:r>
          <w:r w:rsidR="00E627B0">
            <w:rPr>
              <w:lang w:val="bg-BG"/>
            </w:rPr>
            <w:t> </w:t>
          </w:r>
          <w:r>
            <w:t>Поняти</w:t>
          </w:r>
          <w:r w:rsidR="00065364">
            <w:rPr>
              <w:lang w:val="bg-BG"/>
            </w:rPr>
            <w:t>е</w:t>
          </w:r>
          <w:r>
            <w:t>. Съд по несъстоятелността - родова и местна подсъдност, компетентност. Актове на съда - обжалване, публичност.</w:t>
          </w:r>
        </w:p>
        <w:p w14:paraId="02638300" w14:textId="1F63A55B" w:rsidR="00FF1996" w:rsidRDefault="00FF1996" w:rsidP="00FF1996">
          <w:pPr>
            <w:spacing w:before="120"/>
            <w:jc w:val="both"/>
          </w:pPr>
          <w:r>
            <w:t>1</w:t>
          </w:r>
          <w:r w:rsidR="00065364">
            <w:rPr>
              <w:lang w:val="bg-BG"/>
            </w:rPr>
            <w:t>5</w:t>
          </w:r>
          <w:r>
            <w:t>. Синдик - понятие, изисквания, видове, назначаване и освобождаване.</w:t>
          </w:r>
        </w:p>
        <w:p w14:paraId="3EA547DB" w14:textId="3246ED9C" w:rsidR="00FF1996" w:rsidRDefault="00FF1996" w:rsidP="00FF1996">
          <w:pPr>
            <w:spacing w:before="120"/>
            <w:jc w:val="both"/>
          </w:pPr>
          <w:r>
            <w:t>1</w:t>
          </w:r>
          <w:r w:rsidR="00065364">
            <w:rPr>
              <w:lang w:val="bg-BG"/>
            </w:rPr>
            <w:t>6</w:t>
          </w:r>
          <w:r>
            <w:t xml:space="preserve">. Правомощия на синдика. Отговорност. Възнаграждение. Отчетност. </w:t>
          </w:r>
        </w:p>
        <w:p w14:paraId="65C26085" w14:textId="0D1B05DD" w:rsidR="00FF1996" w:rsidRDefault="00FF1996" w:rsidP="00FF1996">
          <w:pPr>
            <w:spacing w:before="120"/>
            <w:jc w:val="both"/>
          </w:pPr>
          <w:r>
            <w:t>1</w:t>
          </w:r>
          <w:r w:rsidR="00280431">
            <w:rPr>
              <w:lang w:val="bg-BG"/>
            </w:rPr>
            <w:t>7</w:t>
          </w:r>
          <w:r>
            <w:t>. Събрани</w:t>
          </w:r>
          <w:r w:rsidR="00065364">
            <w:rPr>
              <w:lang w:val="bg-BG"/>
            </w:rPr>
            <w:t>е</w:t>
          </w:r>
          <w:r>
            <w:t xml:space="preserve"> на кредиторите </w:t>
          </w:r>
          <w:r w:rsidR="00280431">
            <w:t>–</w:t>
          </w:r>
          <w:r>
            <w:t xml:space="preserve"> </w:t>
          </w:r>
          <w:r w:rsidR="00280431">
            <w:rPr>
              <w:lang w:val="bg-BG"/>
            </w:rPr>
            <w:t xml:space="preserve">понятие, </w:t>
          </w:r>
          <w:r>
            <w:t xml:space="preserve">състав, компетентност. Комитет на кредиторите </w:t>
          </w:r>
          <w:r w:rsidR="00280431">
            <w:t>–</w:t>
          </w:r>
          <w:r>
            <w:t xml:space="preserve"> </w:t>
          </w:r>
          <w:r w:rsidR="00280431">
            <w:rPr>
              <w:lang w:val="bg-BG"/>
            </w:rPr>
            <w:t xml:space="preserve">понятие, </w:t>
          </w:r>
          <w:r>
            <w:t>състав и компетентност.</w:t>
          </w:r>
        </w:p>
        <w:p w14:paraId="6CFDB57E" w14:textId="12DED15F" w:rsidR="00FF1996" w:rsidRPr="003D3F60" w:rsidRDefault="003D3F60" w:rsidP="00FF1996">
          <w:pPr>
            <w:spacing w:before="120"/>
            <w:jc w:val="both"/>
            <w:rPr>
              <w:b/>
              <w:bCs/>
              <w:lang w:val="bg-BG"/>
            </w:rPr>
          </w:pPr>
          <w:r w:rsidRPr="00E2398E">
            <w:rPr>
              <w:b/>
              <w:bCs/>
            </w:rPr>
            <w:t>Откриване на производство по несъстоятелност:</w:t>
          </w:r>
        </w:p>
        <w:p w14:paraId="5C28812F" w14:textId="3F5B3749" w:rsidR="00FF1996" w:rsidRDefault="00FF1996" w:rsidP="00FF1996">
          <w:pPr>
            <w:spacing w:before="120"/>
            <w:jc w:val="both"/>
          </w:pPr>
          <w:r>
            <w:t>1</w:t>
          </w:r>
          <w:r w:rsidR="00280431">
            <w:rPr>
              <w:lang w:val="bg-BG"/>
            </w:rPr>
            <w:t>8</w:t>
          </w:r>
          <w:r>
            <w:t xml:space="preserve">. Молба за откриване - процесуална легитимация, съдържание, последици от подаването. </w:t>
          </w:r>
        </w:p>
        <w:p w14:paraId="58DDAC4F" w14:textId="77777777" w:rsidR="00280431" w:rsidRDefault="00FF1996" w:rsidP="00FF1996">
          <w:pPr>
            <w:spacing w:before="120"/>
            <w:jc w:val="both"/>
            <w:rPr>
              <w:lang w:val="bg-BG"/>
            </w:rPr>
          </w:pPr>
          <w:r>
            <w:t>1</w:t>
          </w:r>
          <w:r w:rsidR="00280431">
            <w:rPr>
              <w:lang w:val="bg-BG"/>
            </w:rPr>
            <w:t>9</w:t>
          </w:r>
          <w:r>
            <w:t xml:space="preserve">. Разглеждане на молбата, предмет на производството. </w:t>
          </w:r>
        </w:p>
        <w:p w14:paraId="18F0BCD2" w14:textId="63F98842" w:rsidR="00FF1996" w:rsidRDefault="00280431" w:rsidP="00FF1996">
          <w:pPr>
            <w:spacing w:before="120"/>
            <w:jc w:val="both"/>
            <w:rPr>
              <w:lang w:val="bg-BG"/>
            </w:rPr>
          </w:pPr>
          <w:r>
            <w:rPr>
              <w:lang w:val="bg-BG"/>
            </w:rPr>
            <w:t>20. </w:t>
          </w:r>
          <w:r w:rsidR="00FF1996">
            <w:t xml:space="preserve">Решения на съда по молбата - постановяване, оповестяване, </w:t>
          </w:r>
          <w:r>
            <w:rPr>
              <w:lang w:val="bg-BG"/>
            </w:rPr>
            <w:t xml:space="preserve">обжалване, </w:t>
          </w:r>
          <w:r w:rsidR="00FF1996">
            <w:t>особеност в правните последици.</w:t>
          </w:r>
        </w:p>
        <w:p w14:paraId="3AE1A80C" w14:textId="77777777" w:rsidR="005C5419" w:rsidRPr="005C5419" w:rsidRDefault="005C5419" w:rsidP="005C5419">
          <w:pPr>
            <w:spacing w:before="120"/>
            <w:jc w:val="both"/>
            <w:rPr>
              <w:b/>
              <w:bCs/>
              <w:lang w:val="bg-BG"/>
            </w:rPr>
          </w:pPr>
          <w:r w:rsidRPr="005C5419">
            <w:rPr>
              <w:b/>
              <w:bCs/>
              <w:lang w:val="bg-BG"/>
            </w:rPr>
            <w:t>Мерки за установяване, запазване и обезпечаване на масата на несъстоятелността:</w:t>
          </w:r>
        </w:p>
        <w:p w14:paraId="3D35B517" w14:textId="0958EF4C" w:rsidR="00804ED8" w:rsidRPr="00804ED8" w:rsidRDefault="00804ED8" w:rsidP="00804ED8">
          <w:pPr>
            <w:spacing w:before="120"/>
            <w:jc w:val="both"/>
            <w:rPr>
              <w:lang w:val="bg-BG"/>
            </w:rPr>
          </w:pPr>
          <w:r w:rsidRPr="00804ED8">
            <w:t>2</w:t>
          </w:r>
          <w:r>
            <w:rPr>
              <w:lang w:val="bg-BG"/>
            </w:rPr>
            <w:t>1</w:t>
          </w:r>
          <w:r w:rsidRPr="00804ED8">
            <w:t xml:space="preserve">. Мерки за установяване и за запазване на масата – запечатване и опис. </w:t>
          </w:r>
        </w:p>
        <w:p w14:paraId="04497604" w14:textId="55DA672A" w:rsidR="00804ED8" w:rsidRPr="00804ED8" w:rsidRDefault="00804ED8" w:rsidP="00FF1996">
          <w:pPr>
            <w:spacing w:before="120"/>
            <w:jc w:val="both"/>
            <w:rPr>
              <w:lang w:val="bg-BG"/>
            </w:rPr>
          </w:pPr>
          <w:r w:rsidRPr="00804ED8">
            <w:rPr>
              <w:lang w:val="bg-BG"/>
            </w:rPr>
            <w:t>2</w:t>
          </w:r>
          <w:r>
            <w:rPr>
              <w:lang w:val="bg-BG"/>
            </w:rPr>
            <w:t>2</w:t>
          </w:r>
          <w:r w:rsidRPr="00804ED8">
            <w:rPr>
              <w:lang w:val="bg-BG"/>
            </w:rPr>
            <w:t>. </w:t>
          </w:r>
          <w:r w:rsidRPr="00804ED8">
            <w:t xml:space="preserve">Мерки за обезпечаване на масата – предварителни </w:t>
          </w:r>
          <w:r w:rsidRPr="00804ED8">
            <w:rPr>
              <w:lang w:val="bg-BG"/>
            </w:rPr>
            <w:t>обезпечителни мерки (</w:t>
          </w:r>
          <w:r w:rsidRPr="00804ED8">
            <w:t>ОМ</w:t>
          </w:r>
          <w:r w:rsidRPr="00804ED8">
            <w:rPr>
              <w:lang w:val="bg-BG"/>
            </w:rPr>
            <w:t>)</w:t>
          </w:r>
          <w:r w:rsidRPr="00804ED8">
            <w:t>, ОМ при постановяване на решението за откриване на производство по несъстоятелност, ОМ след откриване на производството.</w:t>
          </w:r>
        </w:p>
        <w:p w14:paraId="6C50112F" w14:textId="77777777" w:rsidR="00C2354F" w:rsidRPr="00C2354F" w:rsidRDefault="00C2354F" w:rsidP="00C2354F">
          <w:pPr>
            <w:spacing w:before="120"/>
            <w:jc w:val="both"/>
            <w:rPr>
              <w:b/>
              <w:bCs/>
            </w:rPr>
          </w:pPr>
          <w:r w:rsidRPr="00C2354F">
            <w:rPr>
              <w:b/>
              <w:bCs/>
            </w:rPr>
            <w:t>Действие на решението за откриване на производството по несъстоятелност:</w:t>
          </w:r>
        </w:p>
        <w:p w14:paraId="1EE86F0A" w14:textId="494AD245" w:rsidR="00FF1996" w:rsidRDefault="00280431" w:rsidP="00FF1996">
          <w:pPr>
            <w:spacing w:before="120"/>
            <w:jc w:val="both"/>
          </w:pPr>
          <w:r>
            <w:rPr>
              <w:lang w:val="bg-BG"/>
            </w:rPr>
            <w:t>2</w:t>
          </w:r>
          <w:r w:rsidR="00804ED8">
            <w:rPr>
              <w:lang w:val="bg-BG"/>
            </w:rPr>
            <w:t>3</w:t>
          </w:r>
          <w:r w:rsidR="00FF1996">
            <w:t xml:space="preserve">. </w:t>
          </w:r>
          <w:r>
            <w:rPr>
              <w:lang w:val="bg-BG"/>
            </w:rPr>
            <w:t xml:space="preserve">Понятие. </w:t>
          </w:r>
          <w:r w:rsidR="00FF1996">
            <w:t>Ограничаване на правата на длъжника. Изпълнение на парични задължения. Задължение за съдействие.</w:t>
          </w:r>
        </w:p>
        <w:p w14:paraId="55F88762" w14:textId="5A45AACC" w:rsidR="00FF1996" w:rsidRDefault="00280431" w:rsidP="00FF1996">
          <w:pPr>
            <w:spacing w:before="120"/>
            <w:jc w:val="both"/>
          </w:pPr>
          <w:r>
            <w:rPr>
              <w:lang w:val="bg-BG"/>
            </w:rPr>
            <w:t>2</w:t>
          </w:r>
          <w:r w:rsidR="00804ED8">
            <w:rPr>
              <w:lang w:val="bg-BG"/>
            </w:rPr>
            <w:t>4</w:t>
          </w:r>
          <w:r w:rsidR="00FF1996">
            <w:t>. Спиране на съдебните и арбитражни производства срещу длъжника.</w:t>
          </w:r>
        </w:p>
        <w:p w14:paraId="3A6E8FA5" w14:textId="73935DD7" w:rsidR="00FF1996" w:rsidRDefault="00804ED8" w:rsidP="00FF1996">
          <w:pPr>
            <w:spacing w:before="120"/>
            <w:jc w:val="both"/>
          </w:pPr>
          <w:r>
            <w:rPr>
              <w:lang w:val="bg-BG"/>
            </w:rPr>
            <w:t>25</w:t>
          </w:r>
          <w:r w:rsidR="00FF1996">
            <w:t>. Спиране на изпълнителните производства срещу длъжника.</w:t>
          </w:r>
        </w:p>
        <w:p w14:paraId="305D5CD5" w14:textId="45CBF0B9" w:rsidR="00FF1996" w:rsidRDefault="00FF1996" w:rsidP="00FF1996">
          <w:pPr>
            <w:spacing w:before="120"/>
            <w:jc w:val="both"/>
          </w:pPr>
          <w:r>
            <w:t>2</w:t>
          </w:r>
          <w:r w:rsidR="00804ED8">
            <w:rPr>
              <w:lang w:val="bg-BG"/>
            </w:rPr>
            <w:t>6</w:t>
          </w:r>
          <w:r>
            <w:t>. Събиране на невнесен капитал. Прекратяване на договори.</w:t>
          </w:r>
        </w:p>
        <w:p w14:paraId="08BF1E57" w14:textId="6BBC3F48" w:rsidR="00FF1996" w:rsidRDefault="00FF1996" w:rsidP="00FF1996">
          <w:pPr>
            <w:spacing w:before="120"/>
            <w:jc w:val="both"/>
          </w:pPr>
          <w:r>
            <w:t>2</w:t>
          </w:r>
          <w:r w:rsidR="00804ED8">
            <w:rPr>
              <w:lang w:val="bg-BG"/>
            </w:rPr>
            <w:t>7</w:t>
          </w:r>
          <w:r>
            <w:t>.</w:t>
          </w:r>
          <w:r w:rsidR="00E627B0">
            <w:rPr>
              <w:lang w:val="bg-BG"/>
            </w:rPr>
            <w:t> </w:t>
          </w:r>
          <w:r>
            <w:t xml:space="preserve">Прихващане в производството по несъстоятелност - цели, особености, </w:t>
          </w:r>
          <w:r w:rsidR="00F66553">
            <w:rPr>
              <w:lang w:val="bg-BG"/>
            </w:rPr>
            <w:t xml:space="preserve">извършване, </w:t>
          </w:r>
          <w:r>
            <w:t>действие.</w:t>
          </w:r>
        </w:p>
        <w:p w14:paraId="26FBA39C" w14:textId="6EE5ED8F" w:rsidR="00FF1996" w:rsidRDefault="00FF1996" w:rsidP="00FF1996">
          <w:pPr>
            <w:spacing w:before="120"/>
            <w:jc w:val="both"/>
          </w:pPr>
          <w:r>
            <w:t>2</w:t>
          </w:r>
          <w:r w:rsidR="00804ED8">
            <w:rPr>
              <w:lang w:val="bg-BG"/>
            </w:rPr>
            <w:t>8</w:t>
          </w:r>
          <w:r>
            <w:t xml:space="preserve">. Недействителност на действия и сделки – </w:t>
          </w:r>
          <w:r w:rsidR="002E6579">
            <w:rPr>
              <w:lang w:val="bg-BG"/>
            </w:rPr>
            <w:t xml:space="preserve">понятие, </w:t>
          </w:r>
          <w:r>
            <w:t xml:space="preserve">цели, видове недействителност, особености. </w:t>
          </w:r>
        </w:p>
        <w:p w14:paraId="1EC04D66" w14:textId="619480A4" w:rsidR="00FF1996" w:rsidRDefault="00FF1996" w:rsidP="00FF1996">
          <w:pPr>
            <w:spacing w:before="120"/>
            <w:jc w:val="both"/>
          </w:pPr>
          <w:r>
            <w:t>2</w:t>
          </w:r>
          <w:r w:rsidR="00804ED8">
            <w:rPr>
              <w:lang w:val="bg-BG"/>
            </w:rPr>
            <w:t>9</w:t>
          </w:r>
          <w:r>
            <w:t xml:space="preserve">. Конкретни състави на недействителност. </w:t>
          </w:r>
        </w:p>
        <w:p w14:paraId="5265FE99" w14:textId="34B51BEE" w:rsidR="00FF1996" w:rsidRDefault="00804ED8" w:rsidP="00FF1996">
          <w:pPr>
            <w:spacing w:before="120"/>
            <w:jc w:val="both"/>
          </w:pPr>
          <w:r>
            <w:rPr>
              <w:lang w:val="bg-BG"/>
            </w:rPr>
            <w:t>30</w:t>
          </w:r>
          <w:r w:rsidR="00FF1996">
            <w:t>.</w:t>
          </w:r>
          <w:r w:rsidR="00E627B0">
            <w:rPr>
              <w:lang w:val="bg-BG"/>
            </w:rPr>
            <w:t> </w:t>
          </w:r>
          <w:r w:rsidR="00FF1996">
            <w:t>Искове за установяване/обявяване на недействителност - легитимация, подсъдност, последици. Обусловени искове за попълване масата на несъстоятелността.</w:t>
          </w:r>
        </w:p>
        <w:p w14:paraId="7890F3E2" w14:textId="77777777" w:rsidR="00500C24" w:rsidRPr="00500C24" w:rsidRDefault="00500C24" w:rsidP="00500C24">
          <w:pPr>
            <w:spacing w:before="120"/>
            <w:jc w:val="both"/>
            <w:rPr>
              <w:b/>
              <w:bCs/>
            </w:rPr>
          </w:pPr>
          <w:r w:rsidRPr="00500C24">
            <w:rPr>
              <w:b/>
              <w:bCs/>
            </w:rPr>
            <w:t>Предявяване и приемане на вземанията:</w:t>
          </w:r>
        </w:p>
        <w:p w14:paraId="45E7C96D" w14:textId="369B187E" w:rsidR="00FF1996" w:rsidRDefault="00804ED8" w:rsidP="00FF1996">
          <w:pPr>
            <w:spacing w:before="120"/>
            <w:jc w:val="both"/>
          </w:pPr>
          <w:r>
            <w:rPr>
              <w:lang w:val="bg-BG"/>
            </w:rPr>
            <w:t>31</w:t>
          </w:r>
          <w:r w:rsidR="00FF1996">
            <w:t>. Предявяване на вземанията - ред, срок, последици.</w:t>
          </w:r>
        </w:p>
        <w:p w14:paraId="23586828" w14:textId="77777777" w:rsidR="00804ED8" w:rsidRDefault="00804ED8" w:rsidP="00FF1996">
          <w:pPr>
            <w:spacing w:before="120"/>
            <w:jc w:val="both"/>
            <w:rPr>
              <w:lang w:val="bg-BG"/>
            </w:rPr>
          </w:pPr>
          <w:r>
            <w:rPr>
              <w:lang w:val="bg-BG"/>
            </w:rPr>
            <w:t>32</w:t>
          </w:r>
          <w:r w:rsidR="00FF1996">
            <w:t>. Списъци на предявените и на приетите вземания - съставяне, обявяване, оспорване, одобряване</w:t>
          </w:r>
          <w:r>
            <w:rPr>
              <w:lang w:val="bg-BG"/>
            </w:rPr>
            <w:t>, п</w:t>
          </w:r>
          <w:r w:rsidR="00FF1996">
            <w:t xml:space="preserve">оследици от одобряването. </w:t>
          </w:r>
        </w:p>
        <w:p w14:paraId="68272FCA" w14:textId="3727D55D" w:rsidR="00FF1996" w:rsidRDefault="00804ED8" w:rsidP="00FF1996">
          <w:pPr>
            <w:spacing w:before="120"/>
            <w:jc w:val="both"/>
          </w:pPr>
          <w:r>
            <w:rPr>
              <w:lang w:val="bg-BG"/>
            </w:rPr>
            <w:t>33. </w:t>
          </w:r>
          <w:r w:rsidR="00FF1996">
            <w:t>Оспорване на одобрения списък.</w:t>
          </w:r>
        </w:p>
        <w:p w14:paraId="190B2F03" w14:textId="77777777" w:rsidR="00AA7FB3" w:rsidRPr="00AA7FB3" w:rsidRDefault="00AA7FB3" w:rsidP="00AA7FB3">
          <w:pPr>
            <w:spacing w:before="120"/>
            <w:jc w:val="both"/>
            <w:rPr>
              <w:b/>
              <w:bCs/>
            </w:rPr>
          </w:pPr>
          <w:r w:rsidRPr="00AA7FB3">
            <w:rPr>
              <w:b/>
              <w:bCs/>
            </w:rPr>
            <w:t>Оздравяване на предприятието на длъжника:</w:t>
          </w:r>
        </w:p>
        <w:p w14:paraId="28D5C398" w14:textId="5CEBFAEE" w:rsidR="00FF1996" w:rsidRDefault="00804ED8" w:rsidP="00FF1996">
          <w:pPr>
            <w:spacing w:before="120"/>
            <w:jc w:val="both"/>
          </w:pPr>
          <w:r>
            <w:rPr>
              <w:lang w:val="bg-BG"/>
            </w:rPr>
            <w:t>34</w:t>
          </w:r>
          <w:r w:rsidR="00FF1996">
            <w:t xml:space="preserve">. Понятие, цели на производството по оздравяване. </w:t>
          </w:r>
          <w:r w:rsidR="00D03BCE">
            <w:rPr>
              <w:lang w:val="bg-BG"/>
            </w:rPr>
            <w:t>П</w:t>
          </w:r>
          <w:r w:rsidR="00FF1996">
            <w:t>лан за оздравяване - предлагане, съдържание.</w:t>
          </w:r>
        </w:p>
        <w:p w14:paraId="2BBD5538" w14:textId="7A03146E" w:rsidR="00FF1996" w:rsidRDefault="00EB07B9" w:rsidP="00FF1996">
          <w:pPr>
            <w:spacing w:before="120"/>
            <w:jc w:val="both"/>
          </w:pPr>
          <w:r>
            <w:rPr>
              <w:lang w:val="bg-BG"/>
            </w:rPr>
            <w:t>35</w:t>
          </w:r>
          <w:r w:rsidR="00FF1996">
            <w:t xml:space="preserve">. Откриване на производството - допускане на плана за оздравяване. Приемане. Решение на съда относно утвърждаване на приетия план. </w:t>
          </w:r>
        </w:p>
        <w:p w14:paraId="197B0543" w14:textId="526E67DE" w:rsidR="00FF1996" w:rsidRDefault="00FF1996" w:rsidP="00FF1996">
          <w:pPr>
            <w:spacing w:before="120"/>
            <w:jc w:val="both"/>
          </w:pPr>
          <w:r>
            <w:t>3</w:t>
          </w:r>
          <w:r w:rsidR="00EB07B9">
            <w:rPr>
              <w:lang w:val="bg-BG"/>
            </w:rPr>
            <w:t>6</w:t>
          </w:r>
          <w:r>
            <w:t>. Действие на утвърдения план. Последици от неизпълнение на плана от длъжника.</w:t>
          </w:r>
        </w:p>
        <w:p w14:paraId="424F52B3" w14:textId="77777777" w:rsidR="0045556F" w:rsidRPr="0045556F" w:rsidRDefault="0045556F" w:rsidP="0045556F">
          <w:pPr>
            <w:spacing w:before="120"/>
            <w:jc w:val="both"/>
            <w:rPr>
              <w:b/>
              <w:bCs/>
            </w:rPr>
          </w:pPr>
          <w:r w:rsidRPr="0045556F">
            <w:rPr>
              <w:b/>
              <w:bCs/>
            </w:rPr>
            <w:lastRenderedPageBreak/>
            <w:t>Обявяване на длъжника в несъстоятелност:</w:t>
          </w:r>
        </w:p>
        <w:p w14:paraId="616B9D9B" w14:textId="5FEE832A" w:rsidR="00FF1996" w:rsidRDefault="00FF1996" w:rsidP="00FF1996">
          <w:pPr>
            <w:spacing w:before="120"/>
            <w:jc w:val="both"/>
          </w:pPr>
          <w:r>
            <w:t>3</w:t>
          </w:r>
          <w:r w:rsidR="00EB07B9">
            <w:rPr>
              <w:lang w:val="bg-BG"/>
            </w:rPr>
            <w:t>7</w:t>
          </w:r>
          <w:r>
            <w:t>. Основания. Решени</w:t>
          </w:r>
          <w:r w:rsidR="00D43267">
            <w:rPr>
              <w:lang w:val="bg-BG"/>
            </w:rPr>
            <w:t>я</w:t>
          </w:r>
          <w:r>
            <w:t xml:space="preserve"> за обявяване в несъстоятелност - съдържание, последици.</w:t>
          </w:r>
        </w:p>
        <w:p w14:paraId="788A295C" w14:textId="410576FD" w:rsidR="00FF1996" w:rsidRDefault="00FF1996" w:rsidP="00FF1996">
          <w:pPr>
            <w:spacing w:before="120"/>
            <w:jc w:val="both"/>
          </w:pPr>
          <w:r>
            <w:t>3</w:t>
          </w:r>
          <w:r w:rsidR="00EB07B9">
            <w:rPr>
              <w:lang w:val="bg-BG"/>
            </w:rPr>
            <w:t>8</w:t>
          </w:r>
          <w:r>
            <w:t>. Осребряване на масата на несъстоятелността - понятие, обхват, ред и начини.</w:t>
          </w:r>
        </w:p>
        <w:p w14:paraId="73DF284D" w14:textId="03D38A38" w:rsidR="00EB07B9" w:rsidRDefault="00FF1996" w:rsidP="00FF1996">
          <w:pPr>
            <w:spacing w:before="120"/>
            <w:jc w:val="both"/>
            <w:rPr>
              <w:lang w:val="bg-BG"/>
            </w:rPr>
          </w:pPr>
          <w:r>
            <w:t>3</w:t>
          </w:r>
          <w:r w:rsidR="00EB07B9">
            <w:rPr>
              <w:lang w:val="bg-BG"/>
            </w:rPr>
            <w:t>9</w:t>
          </w:r>
          <w:r>
            <w:t>.</w:t>
          </w:r>
          <w:r w:rsidR="00E627B0">
            <w:rPr>
              <w:lang w:val="bg-BG"/>
            </w:rPr>
            <w:t> </w:t>
          </w:r>
          <w:r>
            <w:t xml:space="preserve">Разпределение на осребреното имущество: Условия. Сметка за разпределение - изготвяне, оповестяване, възражения, одобряване. </w:t>
          </w:r>
        </w:p>
        <w:p w14:paraId="67619765" w14:textId="6AB4629E" w:rsidR="00FF1996" w:rsidRDefault="00EB07B9" w:rsidP="00FF1996">
          <w:pPr>
            <w:spacing w:before="120"/>
            <w:jc w:val="both"/>
          </w:pPr>
          <w:r>
            <w:rPr>
              <w:lang w:val="bg-BG"/>
            </w:rPr>
            <w:t>40. </w:t>
          </w:r>
          <w:r w:rsidR="00FF1996">
            <w:t xml:space="preserve">Ред за удовлетворяване на кредиторите. Заделяне на суми за оспорени вземания. </w:t>
          </w:r>
        </w:p>
        <w:p w14:paraId="2E92B6B6" w14:textId="77777777" w:rsidR="009E30F5" w:rsidRPr="009E30F5" w:rsidRDefault="009E30F5" w:rsidP="009E30F5">
          <w:pPr>
            <w:spacing w:before="120"/>
            <w:jc w:val="both"/>
            <w:rPr>
              <w:b/>
              <w:bCs/>
            </w:rPr>
          </w:pPr>
          <w:r w:rsidRPr="009E30F5">
            <w:rPr>
              <w:b/>
              <w:bCs/>
            </w:rPr>
            <w:t>Прекратяване на производството по несъстоятелност:</w:t>
          </w:r>
        </w:p>
        <w:p w14:paraId="7F916E43" w14:textId="1812D141" w:rsidR="00FF1996" w:rsidRDefault="00EB07B9" w:rsidP="00FF1996">
          <w:pPr>
            <w:spacing w:before="120"/>
            <w:jc w:val="both"/>
          </w:pPr>
          <w:r>
            <w:rPr>
              <w:lang w:val="bg-BG"/>
            </w:rPr>
            <w:t>41</w:t>
          </w:r>
          <w:r w:rsidR="00FF1996">
            <w:t>.</w:t>
          </w:r>
          <w:r w:rsidR="00E627B0">
            <w:rPr>
              <w:lang w:val="bg-BG"/>
            </w:rPr>
            <w:t> </w:t>
          </w:r>
          <w:r>
            <w:rPr>
              <w:lang w:val="bg-BG"/>
            </w:rPr>
            <w:t>Хипотези на прекратяване</w:t>
          </w:r>
          <w:r w:rsidR="00FF1996">
            <w:t>.</w:t>
          </w:r>
          <w:r>
            <w:rPr>
              <w:lang w:val="bg-BG"/>
            </w:rPr>
            <w:t xml:space="preserve"> Прекратяване без осребряване на масата – основания. Прекратяване след осребряване на масата</w:t>
          </w:r>
          <w:r w:rsidR="00FF1996">
            <w:t xml:space="preserve"> </w:t>
          </w:r>
          <w:r>
            <w:rPr>
              <w:lang w:val="bg-BG"/>
            </w:rPr>
            <w:t>– основания, о</w:t>
          </w:r>
          <w:r w:rsidR="00FF1996">
            <w:t>тчет на синдика, заключително събрание на кредиторите. Решение за прекратяване на производството. Последици.</w:t>
          </w:r>
        </w:p>
        <w:p w14:paraId="093FEFC3" w14:textId="7CD71641" w:rsidR="00FF1996" w:rsidRDefault="00EB07B9" w:rsidP="00FF1996">
          <w:pPr>
            <w:spacing w:before="120"/>
            <w:jc w:val="both"/>
            <w:rPr>
              <w:lang w:val="bg-BG"/>
            </w:rPr>
          </w:pPr>
          <w:r>
            <w:rPr>
              <w:lang w:val="bg-BG"/>
            </w:rPr>
            <w:t>42</w:t>
          </w:r>
          <w:r w:rsidR="00FF1996">
            <w:t>. Извънсъдебно споразумение - същност, цели, сключване, действие.</w:t>
          </w:r>
        </w:p>
        <w:p w14:paraId="71C125C8" w14:textId="37832482" w:rsidR="005326C1" w:rsidRPr="005326C1" w:rsidRDefault="005326C1" w:rsidP="00FF1996">
          <w:pPr>
            <w:spacing w:before="120"/>
            <w:jc w:val="both"/>
            <w:rPr>
              <w:b/>
              <w:bCs/>
              <w:lang w:val="bg-BG"/>
            </w:rPr>
          </w:pPr>
          <w:r w:rsidRPr="005326C1">
            <w:rPr>
              <w:b/>
              <w:bCs/>
              <w:lang w:val="bg-BG"/>
            </w:rPr>
            <w:t>Възобновяване на производство по несъстоятелност. Възстановяване в права:</w:t>
          </w:r>
        </w:p>
        <w:p w14:paraId="74DDC335" w14:textId="34B81250" w:rsidR="00FF1996" w:rsidRDefault="00EB07B9" w:rsidP="00FF1996">
          <w:pPr>
            <w:spacing w:before="120"/>
            <w:jc w:val="both"/>
          </w:pPr>
          <w:r>
            <w:rPr>
              <w:lang w:val="bg-BG"/>
            </w:rPr>
            <w:t>43</w:t>
          </w:r>
          <w:r w:rsidR="00FF1996">
            <w:t>. Възобновяване на производството по несъстоятелност - цели, основание, процедура, действие.</w:t>
          </w:r>
        </w:p>
        <w:p w14:paraId="7A96D15F" w14:textId="6395C636" w:rsidR="00FF1996" w:rsidRDefault="00EB07B9" w:rsidP="00FF1996">
          <w:pPr>
            <w:spacing w:before="120"/>
            <w:jc w:val="both"/>
          </w:pPr>
          <w:r>
            <w:rPr>
              <w:lang w:val="bg-BG"/>
            </w:rPr>
            <w:t>44</w:t>
          </w:r>
          <w:r w:rsidR="00FF1996">
            <w:t>. Възстановяване в права - същност, основания, производство, последици.</w:t>
          </w:r>
        </w:p>
        <w:p w14:paraId="1FFEDBF4" w14:textId="31909F0D" w:rsidR="005A1B56" w:rsidRPr="005A1B56" w:rsidRDefault="005A1B56" w:rsidP="00FF1996">
          <w:pPr>
            <w:spacing w:before="120"/>
            <w:jc w:val="both"/>
            <w:rPr>
              <w:b/>
              <w:bCs/>
              <w:lang w:val="bg-BG"/>
            </w:rPr>
          </w:pPr>
          <w:r w:rsidRPr="005A1B56">
            <w:rPr>
              <w:b/>
              <w:bCs/>
            </w:rPr>
            <w:t>Производство по стабилизация:</w:t>
          </w:r>
        </w:p>
        <w:p w14:paraId="03424A8C" w14:textId="0E70FF4D" w:rsidR="00FF1996" w:rsidRDefault="00EB07B9" w:rsidP="00FF1996">
          <w:pPr>
            <w:spacing w:before="120"/>
            <w:jc w:val="both"/>
          </w:pPr>
          <w:r>
            <w:rPr>
              <w:lang w:val="bg-BG"/>
            </w:rPr>
            <w:t>45</w:t>
          </w:r>
          <w:r w:rsidR="00FF1996">
            <w:t xml:space="preserve">. Понятие, цели, органи, участници. </w:t>
          </w:r>
        </w:p>
        <w:p w14:paraId="4C469C4C" w14:textId="77777777" w:rsidR="00EB07B9" w:rsidRDefault="00EB07B9" w:rsidP="00FF1996">
          <w:pPr>
            <w:spacing w:before="120"/>
            <w:jc w:val="both"/>
            <w:rPr>
              <w:lang w:val="bg-BG"/>
            </w:rPr>
          </w:pPr>
          <w:r>
            <w:rPr>
              <w:lang w:val="bg-BG"/>
            </w:rPr>
            <w:t>46</w:t>
          </w:r>
          <w:r w:rsidR="00FF1996">
            <w:t>. Откриване на производството – основания, ред</w:t>
          </w:r>
          <w:r>
            <w:rPr>
              <w:lang w:val="bg-BG"/>
            </w:rPr>
            <w:t>.</w:t>
          </w:r>
        </w:p>
        <w:p w14:paraId="213289AB" w14:textId="3592641E" w:rsidR="00FF1996" w:rsidRDefault="00EB07B9" w:rsidP="00FF1996">
          <w:pPr>
            <w:spacing w:before="120"/>
            <w:jc w:val="both"/>
          </w:pPr>
          <w:r>
            <w:rPr>
              <w:lang w:val="bg-BG"/>
            </w:rPr>
            <w:t>47. П</w:t>
          </w:r>
          <w:r w:rsidR="00FF1996">
            <w:t>оследици</w:t>
          </w:r>
          <w:r>
            <w:rPr>
              <w:lang w:val="bg-BG"/>
            </w:rPr>
            <w:t xml:space="preserve"> от откриване на производство по стабилизация</w:t>
          </w:r>
          <w:r w:rsidR="00FF1996">
            <w:t>.</w:t>
          </w:r>
        </w:p>
        <w:p w14:paraId="26F27B07" w14:textId="77777777" w:rsidR="00EB07B9" w:rsidRDefault="00FF1996" w:rsidP="00FF1996">
          <w:pPr>
            <w:spacing w:before="120"/>
            <w:jc w:val="both"/>
            <w:rPr>
              <w:lang w:val="bg-BG"/>
            </w:rPr>
          </w:pPr>
          <w:r>
            <w:t>4</w:t>
          </w:r>
          <w:r w:rsidR="00EB07B9">
            <w:rPr>
              <w:lang w:val="bg-BG"/>
            </w:rPr>
            <w:t>8</w:t>
          </w:r>
          <w:r>
            <w:t>. План за стабилизация – предлагане, разглеждане, утвърждаване</w:t>
          </w:r>
          <w:r w:rsidR="00EB07B9">
            <w:rPr>
              <w:lang w:val="bg-BG"/>
            </w:rPr>
            <w:t>.</w:t>
          </w:r>
        </w:p>
        <w:p w14:paraId="2AD8306E" w14:textId="541158CC" w:rsidR="00FF1996" w:rsidRDefault="00EB07B9" w:rsidP="00FF1996">
          <w:pPr>
            <w:spacing w:before="120"/>
            <w:jc w:val="both"/>
          </w:pPr>
          <w:r>
            <w:rPr>
              <w:lang w:val="bg-BG"/>
            </w:rPr>
            <w:t>49. Д</w:t>
          </w:r>
          <w:r w:rsidR="00FF1996">
            <w:t>ействие</w:t>
          </w:r>
          <w:r w:rsidR="00B000B8">
            <w:rPr>
              <w:lang w:val="bg-BG"/>
            </w:rPr>
            <w:t xml:space="preserve"> на плана</w:t>
          </w:r>
          <w:r w:rsidR="00FF1996">
            <w:t>. Прекратяване на производството по стабилизация.</w:t>
          </w:r>
        </w:p>
        <w:p w14:paraId="33072414" w14:textId="10B69BE3" w:rsidR="005A1B56" w:rsidRPr="005A1B56" w:rsidRDefault="005A1B56" w:rsidP="00FF1996">
          <w:pPr>
            <w:spacing w:before="120"/>
            <w:jc w:val="both"/>
            <w:rPr>
              <w:b/>
              <w:bCs/>
              <w:lang w:val="bg-BG"/>
            </w:rPr>
          </w:pPr>
          <w:r w:rsidRPr="005A1B56">
            <w:rPr>
              <w:b/>
              <w:bCs/>
            </w:rPr>
            <w:t>Презгранична несъстоятелност:</w:t>
          </w:r>
        </w:p>
        <w:p w14:paraId="59B9D388" w14:textId="72333F0F" w:rsidR="00FF1996" w:rsidRDefault="00B000B8" w:rsidP="00FF1996">
          <w:pPr>
            <w:spacing w:before="120"/>
            <w:jc w:val="both"/>
          </w:pPr>
          <w:r>
            <w:rPr>
              <w:lang w:val="bg-BG"/>
            </w:rPr>
            <w:t>50</w:t>
          </w:r>
          <w:r w:rsidR="00FF1996">
            <w:t xml:space="preserve">. Презгранична несъстоятелност – понятие, проблеми, правна уредба. Приложимо право. </w:t>
          </w:r>
        </w:p>
        <w:p w14:paraId="48F4DB80" w14:textId="63C3DA1E" w:rsidR="00FF1996" w:rsidRDefault="00B000B8" w:rsidP="00FF1996">
          <w:pPr>
            <w:spacing w:before="120"/>
            <w:jc w:val="both"/>
          </w:pPr>
          <w:r>
            <w:rPr>
              <w:lang w:val="bg-BG"/>
            </w:rPr>
            <w:t>51</w:t>
          </w:r>
          <w:r w:rsidR="00FF1996">
            <w:t>.</w:t>
          </w:r>
          <w:r w:rsidR="00E627B0">
            <w:rPr>
              <w:lang w:val="bg-BG"/>
            </w:rPr>
            <w:t> </w:t>
          </w:r>
          <w:r w:rsidR="00FF1996">
            <w:t xml:space="preserve">Международна компетентност на българския съд по делата за несъстоятелност. Признаване на чуждестранно решение по несъстоятелност. Последици от признаването. </w:t>
          </w:r>
        </w:p>
        <w:p w14:paraId="7495A832" w14:textId="3F67CBAA" w:rsidR="00FF1996" w:rsidRPr="00E627B0" w:rsidRDefault="00E627B0" w:rsidP="00FF1996">
          <w:pPr>
            <w:spacing w:before="120"/>
            <w:jc w:val="both"/>
            <w:rPr>
              <w:b/>
              <w:bCs/>
              <w:lang w:val="bg-BG"/>
            </w:rPr>
          </w:pPr>
          <w:r w:rsidRPr="00E2398E">
            <w:rPr>
              <w:b/>
              <w:bCs/>
            </w:rPr>
            <w:t>Несъстоятелност на банка:</w:t>
          </w:r>
        </w:p>
        <w:p w14:paraId="2C62792E" w14:textId="64EDDC6E" w:rsidR="00FF1996" w:rsidRDefault="00B000B8" w:rsidP="00FF1996">
          <w:pPr>
            <w:spacing w:before="120"/>
            <w:jc w:val="both"/>
          </w:pPr>
          <w:r>
            <w:rPr>
              <w:lang w:val="bg-BG"/>
            </w:rPr>
            <w:t>52</w:t>
          </w:r>
          <w:r w:rsidR="00FF1996">
            <w:t>. Общи особености на банковата несъстоятелност. Органи.</w:t>
          </w:r>
        </w:p>
        <w:p w14:paraId="58CFACA8" w14:textId="23BF028B" w:rsidR="00FF1996" w:rsidRDefault="00B000B8" w:rsidP="00FF1996">
          <w:pPr>
            <w:spacing w:before="120"/>
            <w:jc w:val="both"/>
          </w:pPr>
          <w:r>
            <w:rPr>
              <w:lang w:val="bg-BG"/>
            </w:rPr>
            <w:t>53</w:t>
          </w:r>
          <w:r w:rsidR="00FF1996">
            <w:t>. Откриване на производството. Основания. Решение на съда, действие.</w:t>
          </w:r>
        </w:p>
        <w:p w14:paraId="321F85CB" w14:textId="40476013" w:rsidR="00FF1996" w:rsidRDefault="00B000B8" w:rsidP="00FF1996">
          <w:pPr>
            <w:spacing w:before="120"/>
            <w:jc w:val="both"/>
          </w:pPr>
          <w:r>
            <w:rPr>
              <w:lang w:val="bg-BG"/>
            </w:rPr>
            <w:t>54</w:t>
          </w:r>
          <w:r w:rsidR="00FF1996">
            <w:t>. Запазване, управление и попълване на масата на несъстоятелността. Предявяване и приемане на вземанията срещу банката.</w:t>
          </w:r>
        </w:p>
        <w:p w14:paraId="7E5C91A3" w14:textId="0746632E" w:rsidR="00FF1996" w:rsidRDefault="00B000B8" w:rsidP="00FF1996">
          <w:pPr>
            <w:spacing w:before="120"/>
            <w:jc w:val="both"/>
            <w:rPr>
              <w:lang w:val="bg-BG"/>
            </w:rPr>
          </w:pPr>
          <w:r>
            <w:rPr>
              <w:lang w:val="bg-BG"/>
            </w:rPr>
            <w:t>55</w:t>
          </w:r>
          <w:r w:rsidR="00FF1996">
            <w:t>.</w:t>
          </w:r>
          <w:r w:rsidR="00E627B0">
            <w:rPr>
              <w:lang w:val="bg-BG"/>
            </w:rPr>
            <w:t> </w:t>
          </w:r>
          <w:r w:rsidR="00FF1996">
            <w:t>Осребряване на имуществото на банката. Разпределение. Прекратяване на производството.</w:t>
          </w:r>
        </w:p>
        <w:p w14:paraId="2CD38069" w14:textId="77777777" w:rsidR="00B000B8" w:rsidRDefault="00B000B8" w:rsidP="00FF1996">
          <w:pPr>
            <w:spacing w:before="120"/>
            <w:jc w:val="both"/>
            <w:rPr>
              <w:lang w:val="bg-BG"/>
            </w:rPr>
          </w:pPr>
        </w:p>
        <w:p w14:paraId="0945419A" w14:textId="3864EA99" w:rsidR="00B000B8" w:rsidRPr="00B000B8" w:rsidRDefault="00B000B8" w:rsidP="00FF1996">
          <w:pPr>
            <w:spacing w:before="120"/>
            <w:jc w:val="both"/>
            <w:rPr>
              <w:lang w:val="bg-BG"/>
            </w:rPr>
          </w:pPr>
          <w:r>
            <w:rPr>
              <w:lang w:val="bg-BG"/>
            </w:rPr>
            <w:t>май 2024</w:t>
          </w:r>
          <w:r w:rsidR="009746F2">
            <w:rPr>
              <w:lang w:val="bg-BG"/>
            </w:rPr>
            <w:t xml:space="preserve"> г.</w:t>
          </w:r>
        </w:p>
        <w:p w14:paraId="404C12B3" w14:textId="77777777" w:rsidR="003206D2" w:rsidRPr="00F46600" w:rsidRDefault="003206D2" w:rsidP="00FF1996">
          <w:pPr>
            <w:spacing w:before="120"/>
            <w:ind w:left="340" w:firstLine="720"/>
            <w:jc w:val="both"/>
            <w:rPr>
              <w:rFonts w:ascii="Arial" w:hAnsi="Arial" w:cs="Arial"/>
              <w:b/>
            </w:rPr>
          </w:pPr>
        </w:p>
        <w:p w14:paraId="417639DD" w14:textId="77777777" w:rsidR="00DA6080" w:rsidRPr="00332A0B" w:rsidRDefault="0013154B" w:rsidP="0068766E">
          <w:pPr>
            <w:tabs>
              <w:tab w:val="left" w:pos="6900"/>
            </w:tabs>
            <w:jc w:val="both"/>
          </w:pPr>
        </w:p>
      </w:sdtContent>
    </w:sdt>
    <w:p w14:paraId="6F96AF25" w14:textId="77777777" w:rsidR="00FF4CA3" w:rsidRDefault="00FF4CA3" w:rsidP="00DA6080">
      <w:pPr>
        <w:tabs>
          <w:tab w:val="left" w:pos="6900"/>
        </w:tabs>
        <w:rPr>
          <w:rFonts w:cs="Times New Roman"/>
          <w:b/>
          <w:szCs w:val="24"/>
          <w:lang w:val="bg-BG"/>
        </w:rPr>
      </w:pPr>
    </w:p>
    <w:p w14:paraId="02CA12CF" w14:textId="77777777"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cs="Times New Roman"/>
          <w:szCs w:val="24"/>
          <w:lang w:val="bg-BG"/>
        </w:rPr>
        <w:id w:val="-1245727579"/>
        <w:lock w:val="sdtLocked"/>
        <w:placeholder>
          <w:docPart w:val="780430C84A684CAAB22A9082EFE4E623"/>
        </w:placeholder>
      </w:sdtPr>
      <w:sdtEndPr/>
      <w:sdtContent>
        <w:p w14:paraId="1D404620" w14:textId="77777777" w:rsidR="00FF1996" w:rsidRPr="00FF1996" w:rsidRDefault="00FF1996" w:rsidP="00FF1996">
          <w:pPr>
            <w:spacing w:before="120"/>
            <w:jc w:val="both"/>
            <w:rPr>
              <w:rFonts w:cs="Times New Roman"/>
              <w:szCs w:val="24"/>
              <w:lang w:val="bg-BG"/>
            </w:rPr>
          </w:pPr>
          <w:r w:rsidRPr="00FF1996">
            <w:rPr>
              <w:rFonts w:cs="Times New Roman"/>
              <w:szCs w:val="24"/>
              <w:lang w:val="bg-BG"/>
            </w:rPr>
            <w:t>1. Ганев, В. Систематичен курс по несъстоятелност. Том първи. С., 1926.</w:t>
          </w:r>
        </w:p>
        <w:p w14:paraId="45CEF293" w14:textId="77777777" w:rsidR="00FF1996" w:rsidRPr="00FF1996" w:rsidRDefault="00FF1996" w:rsidP="00FF1996">
          <w:pPr>
            <w:spacing w:before="120"/>
            <w:jc w:val="both"/>
            <w:rPr>
              <w:rFonts w:cs="Times New Roman"/>
              <w:szCs w:val="24"/>
              <w:lang w:val="bg-BG"/>
            </w:rPr>
          </w:pPr>
          <w:r w:rsidRPr="00FF1996">
            <w:rPr>
              <w:rFonts w:cs="Times New Roman"/>
              <w:szCs w:val="24"/>
              <w:lang w:val="bg-BG"/>
            </w:rPr>
            <w:t>2. Таджер, В. Несъстоятелност по търговския закон. С., 1996.</w:t>
          </w:r>
        </w:p>
        <w:p w14:paraId="2F3CBDAE" w14:textId="77777777" w:rsidR="00FF1996" w:rsidRPr="00FF1996" w:rsidRDefault="00FF1996" w:rsidP="00FF1996">
          <w:pPr>
            <w:spacing w:before="120"/>
            <w:jc w:val="both"/>
            <w:rPr>
              <w:rFonts w:cs="Times New Roman"/>
              <w:szCs w:val="24"/>
              <w:lang w:val="bg-BG"/>
            </w:rPr>
          </w:pPr>
          <w:r w:rsidRPr="00FF1996">
            <w:rPr>
              <w:rFonts w:cs="Times New Roman"/>
              <w:szCs w:val="24"/>
              <w:lang w:val="bg-BG"/>
            </w:rPr>
            <w:lastRenderedPageBreak/>
            <w:t>3. Попова, В. Коментар на Търговския закон. Част Четвърта. Несъстоятелност. С., 1996.</w:t>
          </w:r>
        </w:p>
        <w:p w14:paraId="4845929A" w14:textId="77777777" w:rsidR="00FF1996" w:rsidRPr="00FF1996" w:rsidRDefault="00FF1996" w:rsidP="00FF1996">
          <w:pPr>
            <w:spacing w:before="120"/>
            <w:jc w:val="both"/>
            <w:rPr>
              <w:rFonts w:cs="Times New Roman"/>
              <w:szCs w:val="24"/>
              <w:lang w:val="bg-BG"/>
            </w:rPr>
          </w:pPr>
          <w:r w:rsidRPr="00FF1996">
            <w:rPr>
              <w:rFonts w:cs="Times New Roman"/>
              <w:szCs w:val="24"/>
              <w:lang w:val="bg-BG"/>
            </w:rPr>
            <w:t>4. Рачев, Ф. Търговска несъстоятелност. С., 1998.</w:t>
          </w:r>
        </w:p>
        <w:p w14:paraId="30160858" w14:textId="77777777" w:rsidR="00FF1996" w:rsidRPr="00FF1996" w:rsidRDefault="00FF1996" w:rsidP="00FF1996">
          <w:pPr>
            <w:spacing w:before="120"/>
            <w:jc w:val="both"/>
            <w:rPr>
              <w:rFonts w:cs="Times New Roman"/>
              <w:szCs w:val="24"/>
              <w:lang w:val="bg-BG"/>
            </w:rPr>
          </w:pPr>
          <w:r w:rsidRPr="00FF1996">
            <w:rPr>
              <w:rFonts w:cs="Times New Roman"/>
              <w:szCs w:val="24"/>
              <w:lang w:val="bg-BG"/>
            </w:rPr>
            <w:t>5. Коментар на промените в Търговския закон. Авт. кол. С., 2003.</w:t>
          </w:r>
        </w:p>
        <w:p w14:paraId="584AEF1C" w14:textId="77777777" w:rsidR="00FF1996" w:rsidRPr="00FF1996" w:rsidRDefault="00FF1996" w:rsidP="00FF1996">
          <w:pPr>
            <w:spacing w:before="120"/>
            <w:jc w:val="both"/>
            <w:rPr>
              <w:rFonts w:cs="Times New Roman"/>
              <w:szCs w:val="24"/>
              <w:lang w:val="bg-BG"/>
            </w:rPr>
          </w:pPr>
          <w:r w:rsidRPr="00FF1996">
            <w:rPr>
              <w:rFonts w:cs="Times New Roman"/>
              <w:szCs w:val="24"/>
              <w:lang w:val="bg-BG"/>
            </w:rPr>
            <w:t>6. Търговска несъстоятелност. Под научната ред. на проф. О. Стамболиев. С., 2004.</w:t>
          </w:r>
        </w:p>
        <w:p w14:paraId="4DC3E887" w14:textId="77777777" w:rsidR="00FF1996" w:rsidRPr="00FF1996" w:rsidRDefault="00FF1996" w:rsidP="00FF1996">
          <w:pPr>
            <w:spacing w:before="120"/>
            <w:jc w:val="both"/>
            <w:rPr>
              <w:rFonts w:cs="Times New Roman"/>
              <w:szCs w:val="24"/>
              <w:lang w:val="bg-BG"/>
            </w:rPr>
          </w:pPr>
          <w:r w:rsidRPr="00FF1996">
            <w:rPr>
              <w:rFonts w:cs="Times New Roman"/>
              <w:szCs w:val="24"/>
              <w:lang w:val="bg-BG"/>
            </w:rPr>
            <w:t>8. Калайджиев, А. Оздравяване на предприятието. С., 2006.</w:t>
          </w:r>
        </w:p>
        <w:p w14:paraId="6FBC5756" w14:textId="77777777" w:rsidR="00FF1996" w:rsidRPr="00FF1996" w:rsidRDefault="00FF1996" w:rsidP="00FF1996">
          <w:pPr>
            <w:spacing w:before="120"/>
            <w:jc w:val="both"/>
            <w:rPr>
              <w:rFonts w:cs="Times New Roman"/>
              <w:szCs w:val="24"/>
              <w:lang w:val="bg-BG"/>
            </w:rPr>
          </w:pPr>
          <w:r w:rsidRPr="00FF1996">
            <w:rPr>
              <w:rFonts w:cs="Times New Roman"/>
              <w:szCs w:val="24"/>
              <w:lang w:val="bg-BG"/>
            </w:rPr>
            <w:t>9. Стефанов, Г. Търговска несъстоятелност. В. Търново, 2009.</w:t>
          </w:r>
        </w:p>
        <w:p w14:paraId="276F6558" w14:textId="77777777" w:rsidR="00FF1996" w:rsidRPr="00FF1996" w:rsidRDefault="00FF1996" w:rsidP="00FF1996">
          <w:pPr>
            <w:spacing w:before="120"/>
            <w:jc w:val="both"/>
            <w:rPr>
              <w:rFonts w:cs="Times New Roman"/>
              <w:szCs w:val="24"/>
              <w:lang w:val="bg-BG"/>
            </w:rPr>
          </w:pPr>
          <w:r w:rsidRPr="00FF1996">
            <w:rPr>
              <w:rFonts w:cs="Times New Roman"/>
              <w:szCs w:val="24"/>
              <w:lang w:val="bg-BG"/>
            </w:rPr>
            <w:t>10. Маданска, Н. Б.Николова. Производство по несъстоятелност: Материалноправни, процесуални и регистърни въпроси.С., 2010.</w:t>
          </w:r>
        </w:p>
        <w:p w14:paraId="778FB868" w14:textId="77777777" w:rsidR="00FF1996" w:rsidRPr="00FF1996" w:rsidRDefault="00FF1996" w:rsidP="00FF1996">
          <w:pPr>
            <w:spacing w:before="120"/>
            <w:jc w:val="both"/>
            <w:rPr>
              <w:rFonts w:cs="Times New Roman"/>
              <w:szCs w:val="24"/>
              <w:lang w:val="bg-BG"/>
            </w:rPr>
          </w:pPr>
          <w:r w:rsidRPr="00FF1996">
            <w:rPr>
              <w:rFonts w:cs="Times New Roman"/>
              <w:szCs w:val="24"/>
              <w:lang w:val="bg-BG"/>
            </w:rPr>
            <w:t>11. Актуални въпроси на производството по несъстоятелност. Приложен коментар. Анализ на съдебната практика. С., 2015. Авт. кол.</w:t>
          </w:r>
        </w:p>
        <w:p w14:paraId="5FA26D02" w14:textId="77777777" w:rsidR="00FF1996" w:rsidRPr="00FF1996" w:rsidRDefault="00FF1996" w:rsidP="00FF1996">
          <w:pPr>
            <w:spacing w:before="120"/>
            <w:jc w:val="both"/>
            <w:rPr>
              <w:rFonts w:cs="Times New Roman"/>
              <w:szCs w:val="24"/>
              <w:lang w:val="bg-BG"/>
            </w:rPr>
          </w:pPr>
          <w:r w:rsidRPr="00FF1996">
            <w:rPr>
              <w:rFonts w:cs="Times New Roman"/>
              <w:szCs w:val="24"/>
              <w:lang w:val="bg-BG"/>
            </w:rPr>
            <w:t>12. Григоров, Гр. Несъстоятелност. С.: Сиби, 2017.</w:t>
          </w:r>
        </w:p>
        <w:p w14:paraId="753CD00C" w14:textId="77777777" w:rsidR="00071625" w:rsidRDefault="00FF1996" w:rsidP="00FF1996">
          <w:pPr>
            <w:spacing w:before="120"/>
            <w:jc w:val="both"/>
            <w:rPr>
              <w:rFonts w:cs="Times New Roman"/>
              <w:szCs w:val="24"/>
              <w:lang w:val="bg-BG"/>
            </w:rPr>
          </w:pPr>
          <w:r w:rsidRPr="00FF1996">
            <w:rPr>
              <w:rFonts w:cs="Times New Roman"/>
              <w:szCs w:val="24"/>
              <w:lang w:val="bg-BG"/>
            </w:rPr>
            <w:t>13. Сталев, Ж. Българско гражданско процесуално право, последно изд.септември 2018 г.</w:t>
          </w:r>
        </w:p>
      </w:sdtContent>
    </w:sdt>
    <w:p w14:paraId="390652E6" w14:textId="77777777" w:rsidR="00584CAD" w:rsidRDefault="00584CAD" w:rsidP="003D64E1">
      <w:pPr>
        <w:rPr>
          <w:rFonts w:cs="Times New Roman"/>
          <w:b/>
          <w:szCs w:val="24"/>
          <w:lang w:val="bg-BG" w:eastAsia="zh-TW"/>
        </w:rPr>
      </w:pPr>
    </w:p>
    <w:p w14:paraId="42A702D1" w14:textId="77777777"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14:paraId="1C23EDC9" w14:textId="77777777"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bookmarkStart w:id="1" w:name="_Hlk164755831" w:displacedByCustomXml="next"/>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14:paraId="2965F40A" w14:textId="146B90B5" w:rsidR="00FB1D2B" w:rsidRPr="00CD1EBE" w:rsidRDefault="00AA7A11" w:rsidP="00FB1D2B">
          <w:pPr>
            <w:jc w:val="both"/>
            <w:rPr>
              <w:rFonts w:cs="Times New Roman"/>
              <w:szCs w:val="24"/>
              <w:lang w:val="bg-BG"/>
            </w:rPr>
          </w:pPr>
          <w:r w:rsidRPr="00DB2C24">
            <w:rPr>
              <w:rFonts w:cs="Times New Roman"/>
              <w:szCs w:val="24"/>
              <w:lang w:val="bg-BG"/>
            </w:rPr>
            <w:t xml:space="preserve">Текущото оценяване се извършва </w:t>
          </w:r>
          <w:r w:rsidR="00503DB1">
            <w:rPr>
              <w:rFonts w:cs="Times New Roman"/>
              <w:szCs w:val="24"/>
              <w:lang w:val="bg-BG"/>
            </w:rPr>
            <w:t>при</w:t>
          </w:r>
          <w:r w:rsidRPr="00DB2C24">
            <w:rPr>
              <w:rFonts w:cs="Times New Roman"/>
              <w:szCs w:val="24"/>
              <w:lang w:val="bg-BG"/>
            </w:rPr>
            <w:t xml:space="preserve"> участието на студентите в семинарните занятия. </w:t>
          </w:r>
          <w:r w:rsidRPr="0038756E">
            <w:rPr>
              <w:rFonts w:cs="Times New Roman"/>
              <w:szCs w:val="24"/>
              <w:lang w:val="bg-BG"/>
            </w:rPr>
            <w:t>Те се оценяват комплексно, като се вземат предвид резултатите от колоквиума, проведен в края на семестъра, участието им в дискусии и решаване на казуси по време на занятия изпълнение на задачите, поставени от асистента  на упражненията</w:t>
          </w:r>
          <w:r w:rsidRPr="00DB2C24">
            <w:rPr>
              <w:rFonts w:cs="Times New Roman"/>
              <w:szCs w:val="24"/>
              <w:lang w:val="bg-BG"/>
            </w:rPr>
            <w:t>. Оценката за работата на семинарни занятия се взема предвид с относителна тежест от една единица (2</w:t>
          </w:r>
          <w:r w:rsidR="00DC7859">
            <w:rPr>
              <w:rFonts w:cs="Times New Roman"/>
              <w:szCs w:val="24"/>
              <w:lang w:val="bg-BG"/>
            </w:rPr>
            <w:t>0</w:t>
          </w:r>
          <w:r w:rsidRPr="00DB2C24">
            <w:rPr>
              <w:rFonts w:cs="Times New Roman"/>
              <w:szCs w:val="24"/>
              <w:lang w:val="bg-BG"/>
            </w:rPr>
            <w:t>%) при формиране на окончателната оценка по дисциплината, която се поставя след полагане на изпит по време на сесия.</w:t>
          </w:r>
          <w:r>
            <w:rPr>
              <w:rFonts w:cs="Times New Roman"/>
              <w:szCs w:val="24"/>
              <w:lang w:val="bg-BG"/>
            </w:rPr>
            <w:t xml:space="preserve"> </w:t>
          </w:r>
        </w:p>
      </w:sdtContent>
    </w:sdt>
    <w:bookmarkEnd w:id="1" w:displacedByCustomXml="prev"/>
    <w:p w14:paraId="474FEA11" w14:textId="77777777" w:rsidR="00FF4CA3" w:rsidRDefault="00FF4CA3" w:rsidP="00AE1971">
      <w:pPr>
        <w:rPr>
          <w:rFonts w:cs="Times New Roman"/>
          <w:szCs w:val="24"/>
          <w:lang w:val="bg-BG"/>
        </w:rPr>
      </w:pPr>
    </w:p>
    <w:p w14:paraId="5FD35E1F" w14:textId="77777777"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14:paraId="4ACEC432" w14:textId="6C096852" w:rsidR="007356CE" w:rsidRDefault="00B42111" w:rsidP="00211F99">
          <w:pPr>
            <w:jc w:val="both"/>
            <w:rPr>
              <w:rFonts w:cs="Times New Roman"/>
              <w:szCs w:val="24"/>
              <w:lang w:val="bg-BG"/>
            </w:rPr>
          </w:pPr>
          <w:r>
            <w:rPr>
              <w:rFonts w:cs="Times New Roman"/>
              <w:szCs w:val="24"/>
              <w:lang w:val="bg-BG"/>
            </w:rPr>
            <w:t>Едно от двете: 1. Миниум 50 % присъствия на семинарните занятия или 2. Изпълнение на задачите от задължителното текущо оценяване</w:t>
          </w:r>
        </w:p>
      </w:sdtContent>
    </w:sdt>
    <w:sdt>
      <w:sdt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rPr>
          <w:rFonts w:cs="Times New Roman"/>
          <w:szCs w:val="24"/>
          <w:lang w:val="bg-BG"/>
        </w:rPr>
      </w:sdtEndPr>
      <w:sdtContent>
        <w:p w14:paraId="79499272" w14:textId="77777777" w:rsidR="0089661E" w:rsidRDefault="00503DB1" w:rsidP="007819E1">
          <w:pPr>
            <w:jc w:val="both"/>
            <w:rPr>
              <w:rFonts w:cs="Times New Roman"/>
              <w:szCs w:val="24"/>
              <w:lang w:val="bg-BG"/>
            </w:rPr>
          </w:pPr>
          <w:r>
            <w:t xml:space="preserve"> </w:t>
          </w:r>
        </w:p>
      </w:sdtContent>
    </w:sdt>
    <w:p w14:paraId="168408EA" w14:textId="77777777" w:rsidR="00100BC6" w:rsidRPr="00100BC6" w:rsidRDefault="00100BC6" w:rsidP="00321ED2">
      <w:pPr>
        <w:tabs>
          <w:tab w:val="left" w:pos="7695"/>
        </w:tabs>
        <w:rPr>
          <w:rFonts w:cs="Times New Roman"/>
          <w:sz w:val="10"/>
          <w:szCs w:val="10"/>
          <w:lang w:val="bg-BG"/>
        </w:rPr>
      </w:pPr>
    </w:p>
    <w:p w14:paraId="6256C941" w14:textId="77777777"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14:paraId="3673B10F" w14:textId="3E99D31F" w:rsidR="00071625" w:rsidRDefault="00FE4D2D" w:rsidP="00FF4CA3">
          <w:pPr>
            <w:jc w:val="both"/>
            <w:rPr>
              <w:rFonts w:cs="Times New Roman"/>
              <w:szCs w:val="24"/>
              <w:lang w:val="bg-BG"/>
            </w:rPr>
          </w:pPr>
          <w:r>
            <w:rPr>
              <w:rFonts w:cs="Times New Roman"/>
              <w:szCs w:val="24"/>
              <w:lang w:val="bg-BG"/>
            </w:rPr>
            <w:t>Устен</w:t>
          </w:r>
          <w:r w:rsidR="00FF1996" w:rsidRPr="00FF1996">
            <w:rPr>
              <w:rFonts w:cs="Times New Roman"/>
              <w:szCs w:val="24"/>
              <w:lang w:val="bg-BG"/>
            </w:rPr>
            <w:t xml:space="preserve"> изпит с </w:t>
          </w:r>
          <w:r>
            <w:rPr>
              <w:rFonts w:cs="Times New Roman"/>
              <w:szCs w:val="24"/>
              <w:lang w:val="bg-BG"/>
            </w:rPr>
            <w:t>отговор на 2 въпроса от конспекта. Допуска се решаване и на казус по изтеглените въпроси</w:t>
          </w:r>
          <w:r w:rsidR="00FF1996" w:rsidRPr="00FF1996">
            <w:rPr>
              <w:rFonts w:cs="Times New Roman"/>
              <w:szCs w:val="24"/>
              <w:lang w:val="bg-BG"/>
            </w:rPr>
            <w:t>. По време на изпита студентите могат да ползват законодателство.</w:t>
          </w:r>
        </w:p>
      </w:sdtContent>
    </w:sdt>
    <w:p w14:paraId="0F5C5C40" w14:textId="77777777"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14:paraId="654BC7E2" w14:textId="77777777"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14:paraId="1C7E45D1" w14:textId="77777777" w:rsidR="00503DB1" w:rsidRPr="00503DB1" w:rsidRDefault="00503DB1" w:rsidP="00503DB1">
          <w:pPr>
            <w:jc w:val="both"/>
            <w:rPr>
              <w:rFonts w:cs="Times New Roman"/>
              <w:szCs w:val="24"/>
              <w:lang w:val="bg-BG"/>
            </w:rPr>
          </w:pPr>
          <w:r w:rsidRPr="00503DB1">
            <w:rPr>
              <w:rFonts w:cs="Times New Roman"/>
              <w:szCs w:val="24"/>
              <w:lang w:val="bg-BG"/>
            </w:rPr>
            <w:t xml:space="preserve">Изпитът се провежда устно с отговор по два въпроса от конспекта. Студентите могат да ползват законодателство. Крайната оценка по дисциплината се формира от оценката от изпита и от текущото оценяване в съотношение 80% и 20%. </w:t>
          </w:r>
        </w:p>
        <w:p w14:paraId="274011A1" w14:textId="33492FBA" w:rsidR="00DA6080" w:rsidRDefault="0013154B" w:rsidP="00FF4CA3">
          <w:pPr>
            <w:jc w:val="both"/>
            <w:rPr>
              <w:rFonts w:cs="Times New Roman"/>
              <w:szCs w:val="24"/>
              <w:lang w:val="bg-BG"/>
            </w:rPr>
          </w:pPr>
        </w:p>
      </w:sdtContent>
    </w:sdt>
    <w:p w14:paraId="5FF10FE0" w14:textId="77777777" w:rsidR="00DA6080" w:rsidRDefault="00DA6080">
      <w:pPr>
        <w:rPr>
          <w:rFonts w:cs="Times New Roman"/>
          <w:szCs w:val="24"/>
          <w:lang w:val="bg-BG"/>
        </w:rPr>
      </w:pPr>
    </w:p>
    <w:p w14:paraId="3DFADBAB" w14:textId="77777777"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14:paraId="5BC9FA0C" w14:textId="0DDA9530" w:rsidR="00DA511D" w:rsidRDefault="005A4673" w:rsidP="00470C68">
          <w:pPr>
            <w:jc w:val="both"/>
            <w:rPr>
              <w:rFonts w:cs="Times New Roman"/>
              <w:szCs w:val="24"/>
              <w:lang w:val="bg-BG"/>
            </w:rPr>
          </w:pPr>
          <w:r>
            <w:rPr>
              <w:rFonts w:cs="Times New Roman"/>
              <w:szCs w:val="24"/>
              <w:lang w:val="bg-BG"/>
            </w:rPr>
            <w:t xml:space="preserve">От студентите се очаква да участват активно при изнасянето на лекциите и при провеждането на семинарните занятия. За усвояването на учебния материал е необходимо </w:t>
          </w:r>
          <w:r>
            <w:rPr>
              <w:rFonts w:cs="Times New Roman"/>
              <w:szCs w:val="24"/>
              <w:lang w:val="bg-BG"/>
            </w:rPr>
            <w:lastRenderedPageBreak/>
            <w:t>студентите да са получили необходимите познания по дисциплините гражданско право – обща част, вещно право, търговско право</w:t>
          </w:r>
          <w:r w:rsidR="00BD2F8E">
            <w:rPr>
              <w:rFonts w:cs="Times New Roman"/>
              <w:szCs w:val="24"/>
              <w:lang w:val="bg-BG"/>
            </w:rPr>
            <w:t xml:space="preserve"> – 1 и 2 част</w:t>
          </w:r>
          <w:r>
            <w:rPr>
              <w:rFonts w:cs="Times New Roman"/>
              <w:szCs w:val="24"/>
              <w:lang w:val="bg-BG"/>
            </w:rPr>
            <w:t>, семейно и наследствено право и граждански процес. На изпита се очаква</w:t>
          </w:r>
          <w:r w:rsidR="00A81852">
            <w:rPr>
              <w:rFonts w:cs="Times New Roman"/>
              <w:szCs w:val="24"/>
              <w:lang w:val="bg-BG"/>
            </w:rPr>
            <w:t xml:space="preserve"> студентите да покажат: 1. Теоретични знания и практически умения за основни положения от действащото законодателство, доктрината и съдебната практика по несъстоятелност; 2. Способност да тълкуват закона при използване на съответните тълкувателни методи и способи за преодоляване на празнините в него; 3. </w:t>
          </w:r>
          <w:r w:rsidR="009A464F">
            <w:rPr>
              <w:rFonts w:cs="Times New Roman"/>
              <w:szCs w:val="24"/>
              <w:lang w:val="bg-BG"/>
            </w:rPr>
            <w:t>Способност д</w:t>
          </w:r>
          <w:r w:rsidR="00A81852">
            <w:rPr>
              <w:rFonts w:cs="Times New Roman"/>
              <w:szCs w:val="24"/>
              <w:lang w:val="bg-BG"/>
            </w:rPr>
            <w:t>а установят връзк</w:t>
          </w:r>
          <w:r w:rsidR="005A1EA3">
            <w:rPr>
              <w:rFonts w:cs="Times New Roman"/>
              <w:szCs w:val="24"/>
              <w:lang w:val="bg-BG"/>
            </w:rPr>
            <w:t>ите</w:t>
          </w:r>
          <w:r w:rsidR="00A81852">
            <w:rPr>
              <w:rFonts w:cs="Times New Roman"/>
              <w:szCs w:val="24"/>
              <w:lang w:val="bg-BG"/>
            </w:rPr>
            <w:t xml:space="preserve"> на несъстоятелността с търговското право</w:t>
          </w:r>
          <w:r w:rsidR="005A1EA3">
            <w:rPr>
              <w:rFonts w:cs="Times New Roman"/>
              <w:szCs w:val="24"/>
              <w:lang w:val="bg-BG"/>
            </w:rPr>
            <w:t xml:space="preserve"> и с</w:t>
          </w:r>
          <w:r w:rsidR="00A81852">
            <w:rPr>
              <w:rFonts w:cs="Times New Roman"/>
              <w:szCs w:val="24"/>
              <w:lang w:val="bg-BG"/>
            </w:rPr>
            <w:t xml:space="preserve"> гражданския процес и техните институти, приложими към правото по несъстоятелност; 4. Да използват коректно правната терминология и кратък, точен и ясен юридически език при отговора на поставените теоретични въпроси; 5. При решаването на казус да умеят да работят със закона като подведат фактите по конкретния казус под приложимата правна норма,както и да аргументират своите изводи при </w:t>
          </w:r>
          <w:r w:rsidR="005A1EA3">
            <w:rPr>
              <w:rFonts w:cs="Times New Roman"/>
              <w:szCs w:val="24"/>
              <w:lang w:val="bg-BG"/>
            </w:rPr>
            <w:t>решаване на</w:t>
          </w:r>
          <w:r w:rsidR="00A81852">
            <w:rPr>
              <w:rFonts w:cs="Times New Roman"/>
              <w:szCs w:val="24"/>
              <w:lang w:val="bg-BG"/>
            </w:rPr>
            <w:t xml:space="preserve"> казуса.</w:t>
          </w:r>
        </w:p>
      </w:sdtContent>
    </w:sdt>
    <w:p w14:paraId="6E8A90C6" w14:textId="77777777" w:rsidR="00DA511D" w:rsidRPr="00DA511D" w:rsidRDefault="00DA511D">
      <w:pPr>
        <w:rPr>
          <w:rFonts w:cs="Times New Roman"/>
          <w:szCs w:val="24"/>
          <w:lang w:val="bg-BG"/>
        </w:rPr>
      </w:pPr>
    </w:p>
    <w:p w14:paraId="54E0E3C8" w14:textId="77777777"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14:paraId="528F4034" w14:textId="77777777" w:rsidR="00676627" w:rsidRDefault="00676627" w:rsidP="00E8078F">
      <w:pPr>
        <w:tabs>
          <w:tab w:val="left" w:pos="1500"/>
        </w:tabs>
        <w:jc w:val="both"/>
        <w:rPr>
          <w:rFonts w:cs="Times New Roman"/>
          <w:sz w:val="20"/>
          <w:szCs w:val="20"/>
          <w:lang w:val="bg-BG"/>
        </w:rPr>
      </w:pPr>
    </w:p>
    <w:p w14:paraId="5C9EEED8" w14:textId="77777777"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14:paraId="583DBA25"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14:paraId="531B09F0"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14:paraId="4F5916A0" w14:textId="77777777"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14:paraId="27C5DB2F" w14:textId="77777777" w:rsidR="00E8078F" w:rsidRPr="00E8078F" w:rsidRDefault="00E8078F" w:rsidP="00E8078F">
      <w:pPr>
        <w:tabs>
          <w:tab w:val="left" w:pos="1500"/>
        </w:tabs>
        <w:jc w:val="both"/>
        <w:rPr>
          <w:rFonts w:cs="Times New Roman"/>
          <w:sz w:val="20"/>
          <w:szCs w:val="20"/>
          <w:lang w:val="bg-BG"/>
        </w:rPr>
      </w:pPr>
    </w:p>
    <w:p w14:paraId="6C76527E" w14:textId="77777777"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14:paraId="1247A35D" w14:textId="77777777"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14:paraId="6152D65D" w14:textId="77777777"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t>(3) При незачитане участието на студентите в обучението те не се допускат до оценяване на редовната изпитна сесия.</w:t>
      </w:r>
    </w:p>
    <w:sectPr w:rsidR="00676627" w:rsidSect="00C742CC">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1E2BC" w14:textId="77777777" w:rsidR="0013154B" w:rsidRDefault="0013154B" w:rsidP="00F44CAE">
      <w:pPr>
        <w:spacing w:after="0" w:line="240" w:lineRule="auto"/>
      </w:pPr>
      <w:r>
        <w:separator/>
      </w:r>
    </w:p>
  </w:endnote>
  <w:endnote w:type="continuationSeparator" w:id="0">
    <w:p w14:paraId="39E85855" w14:textId="77777777" w:rsidR="0013154B" w:rsidRDefault="0013154B"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CF6B7" w14:textId="5EDEBBC7" w:rsidR="00DC03AF" w:rsidRDefault="00DC03AF">
    <w:pPr>
      <w:pStyle w:val="Footer"/>
      <w:jc w:val="right"/>
    </w:pPr>
    <w:r>
      <w:fldChar w:fldCharType="begin"/>
    </w:r>
    <w:r>
      <w:instrText xml:space="preserve"> PAGE   \* MERGEFORMAT </w:instrText>
    </w:r>
    <w:r>
      <w:fldChar w:fldCharType="separate"/>
    </w:r>
    <w:r w:rsidR="00291687">
      <w:rPr>
        <w:noProof/>
      </w:rPr>
      <w:t>4</w:t>
    </w:r>
    <w:r>
      <w:rPr>
        <w:noProof/>
      </w:rPr>
      <w:fldChar w:fldCharType="end"/>
    </w:r>
  </w:p>
  <w:p w14:paraId="4DF1818D" w14:textId="77777777"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7160E" w14:textId="77777777" w:rsidR="0013154B" w:rsidRDefault="0013154B" w:rsidP="00F44CAE">
      <w:pPr>
        <w:spacing w:after="0" w:line="240" w:lineRule="auto"/>
      </w:pPr>
      <w:r>
        <w:separator/>
      </w:r>
    </w:p>
  </w:footnote>
  <w:footnote w:type="continuationSeparator" w:id="0">
    <w:p w14:paraId="1627D37B" w14:textId="77777777" w:rsidR="0013154B" w:rsidRDefault="0013154B"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A533" w14:textId="77777777"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14:paraId="27387AE8" w14:textId="77777777"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314DF8"/>
    <w:multiLevelType w:val="hybridMultilevel"/>
    <w:tmpl w:val="E91ECE2C"/>
    <w:lvl w:ilvl="0" w:tplc="EF066C18">
      <w:start w:val="1"/>
      <w:numFmt w:val="decimal"/>
      <w:lvlText w:val="%1."/>
      <w:lvlJc w:val="left"/>
      <w:pPr>
        <w:tabs>
          <w:tab w:val="num" w:pos="1060"/>
        </w:tabs>
        <w:ind w:left="1060" w:hanging="360"/>
      </w:pPr>
      <w:rPr>
        <w:b/>
      </w:rPr>
    </w:lvl>
    <w:lvl w:ilvl="1" w:tplc="04020019">
      <w:start w:val="1"/>
      <w:numFmt w:val="lowerLetter"/>
      <w:lvlText w:val="%2."/>
      <w:lvlJc w:val="left"/>
      <w:pPr>
        <w:tabs>
          <w:tab w:val="num" w:pos="1780"/>
        </w:tabs>
        <w:ind w:left="1780" w:hanging="360"/>
      </w:pPr>
    </w:lvl>
    <w:lvl w:ilvl="2" w:tplc="0402001B" w:tentative="1">
      <w:start w:val="1"/>
      <w:numFmt w:val="lowerRoman"/>
      <w:lvlText w:val="%3."/>
      <w:lvlJc w:val="right"/>
      <w:pPr>
        <w:tabs>
          <w:tab w:val="num" w:pos="2500"/>
        </w:tabs>
        <w:ind w:left="2500" w:hanging="180"/>
      </w:pPr>
    </w:lvl>
    <w:lvl w:ilvl="3" w:tplc="0402000F" w:tentative="1">
      <w:start w:val="1"/>
      <w:numFmt w:val="decimal"/>
      <w:lvlText w:val="%4."/>
      <w:lvlJc w:val="left"/>
      <w:pPr>
        <w:tabs>
          <w:tab w:val="num" w:pos="3220"/>
        </w:tabs>
        <w:ind w:left="3220" w:hanging="360"/>
      </w:pPr>
    </w:lvl>
    <w:lvl w:ilvl="4" w:tplc="04020019" w:tentative="1">
      <w:start w:val="1"/>
      <w:numFmt w:val="lowerLetter"/>
      <w:lvlText w:val="%5."/>
      <w:lvlJc w:val="left"/>
      <w:pPr>
        <w:tabs>
          <w:tab w:val="num" w:pos="3940"/>
        </w:tabs>
        <w:ind w:left="3940" w:hanging="360"/>
      </w:pPr>
    </w:lvl>
    <w:lvl w:ilvl="5" w:tplc="0402001B" w:tentative="1">
      <w:start w:val="1"/>
      <w:numFmt w:val="lowerRoman"/>
      <w:lvlText w:val="%6."/>
      <w:lvlJc w:val="right"/>
      <w:pPr>
        <w:tabs>
          <w:tab w:val="num" w:pos="4660"/>
        </w:tabs>
        <w:ind w:left="4660" w:hanging="180"/>
      </w:pPr>
    </w:lvl>
    <w:lvl w:ilvl="6" w:tplc="0402000F" w:tentative="1">
      <w:start w:val="1"/>
      <w:numFmt w:val="decimal"/>
      <w:lvlText w:val="%7."/>
      <w:lvlJc w:val="left"/>
      <w:pPr>
        <w:tabs>
          <w:tab w:val="num" w:pos="5380"/>
        </w:tabs>
        <w:ind w:left="5380" w:hanging="360"/>
      </w:pPr>
    </w:lvl>
    <w:lvl w:ilvl="7" w:tplc="04020019" w:tentative="1">
      <w:start w:val="1"/>
      <w:numFmt w:val="lowerLetter"/>
      <w:lvlText w:val="%8."/>
      <w:lvlJc w:val="left"/>
      <w:pPr>
        <w:tabs>
          <w:tab w:val="num" w:pos="6100"/>
        </w:tabs>
        <w:ind w:left="6100" w:hanging="360"/>
      </w:pPr>
    </w:lvl>
    <w:lvl w:ilvl="8" w:tplc="0402001B" w:tentative="1">
      <w:start w:val="1"/>
      <w:numFmt w:val="lowerRoman"/>
      <w:lvlText w:val="%9."/>
      <w:lvlJc w:val="right"/>
      <w:pPr>
        <w:tabs>
          <w:tab w:val="num" w:pos="6820"/>
        </w:tabs>
        <w:ind w:left="68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3C61"/>
    <w:rsid w:val="0005345F"/>
    <w:rsid w:val="00056504"/>
    <w:rsid w:val="00056F5A"/>
    <w:rsid w:val="00061393"/>
    <w:rsid w:val="0006374F"/>
    <w:rsid w:val="00065364"/>
    <w:rsid w:val="00071625"/>
    <w:rsid w:val="00073B87"/>
    <w:rsid w:val="00085031"/>
    <w:rsid w:val="00086F5A"/>
    <w:rsid w:val="00093C56"/>
    <w:rsid w:val="00095759"/>
    <w:rsid w:val="000A566C"/>
    <w:rsid w:val="000D01CD"/>
    <w:rsid w:val="000D0DBC"/>
    <w:rsid w:val="000D1387"/>
    <w:rsid w:val="000D3E01"/>
    <w:rsid w:val="000E4B3C"/>
    <w:rsid w:val="000E6BFF"/>
    <w:rsid w:val="000F3FF7"/>
    <w:rsid w:val="00100BC6"/>
    <w:rsid w:val="001101B4"/>
    <w:rsid w:val="0013154B"/>
    <w:rsid w:val="00135FE0"/>
    <w:rsid w:val="001724F3"/>
    <w:rsid w:val="00177D18"/>
    <w:rsid w:val="00181310"/>
    <w:rsid w:val="001D2ED5"/>
    <w:rsid w:val="001E1200"/>
    <w:rsid w:val="001F5ADE"/>
    <w:rsid w:val="00211F99"/>
    <w:rsid w:val="00214378"/>
    <w:rsid w:val="00280431"/>
    <w:rsid w:val="002840A7"/>
    <w:rsid w:val="00291687"/>
    <w:rsid w:val="002B7CE6"/>
    <w:rsid w:val="002C0A7A"/>
    <w:rsid w:val="002C4AD0"/>
    <w:rsid w:val="002C6022"/>
    <w:rsid w:val="002D3E7D"/>
    <w:rsid w:val="002D6CC3"/>
    <w:rsid w:val="002E6579"/>
    <w:rsid w:val="003010E4"/>
    <w:rsid w:val="003021D8"/>
    <w:rsid w:val="00316E9B"/>
    <w:rsid w:val="003206D2"/>
    <w:rsid w:val="00321ED2"/>
    <w:rsid w:val="00332A0B"/>
    <w:rsid w:val="00347FDC"/>
    <w:rsid w:val="003542E7"/>
    <w:rsid w:val="00375136"/>
    <w:rsid w:val="00380F5A"/>
    <w:rsid w:val="003812A2"/>
    <w:rsid w:val="0039054A"/>
    <w:rsid w:val="003935BC"/>
    <w:rsid w:val="003947E3"/>
    <w:rsid w:val="003B43BD"/>
    <w:rsid w:val="003D3F60"/>
    <w:rsid w:val="003D64E1"/>
    <w:rsid w:val="003D741F"/>
    <w:rsid w:val="003E037F"/>
    <w:rsid w:val="003E3B14"/>
    <w:rsid w:val="003F0818"/>
    <w:rsid w:val="003F1EC7"/>
    <w:rsid w:val="003F724E"/>
    <w:rsid w:val="00407C97"/>
    <w:rsid w:val="00414430"/>
    <w:rsid w:val="00425277"/>
    <w:rsid w:val="004526E8"/>
    <w:rsid w:val="0045556F"/>
    <w:rsid w:val="004620CC"/>
    <w:rsid w:val="00464F8A"/>
    <w:rsid w:val="00470C68"/>
    <w:rsid w:val="004D3203"/>
    <w:rsid w:val="00500C24"/>
    <w:rsid w:val="00502C22"/>
    <w:rsid w:val="00503DB1"/>
    <w:rsid w:val="00513BF8"/>
    <w:rsid w:val="005202A0"/>
    <w:rsid w:val="0052579D"/>
    <w:rsid w:val="005326C1"/>
    <w:rsid w:val="005346A5"/>
    <w:rsid w:val="00555F07"/>
    <w:rsid w:val="00570CB7"/>
    <w:rsid w:val="00572AC1"/>
    <w:rsid w:val="005803A9"/>
    <w:rsid w:val="00584CAD"/>
    <w:rsid w:val="005A0E57"/>
    <w:rsid w:val="005A1B56"/>
    <w:rsid w:val="005A1EA3"/>
    <w:rsid w:val="005A4673"/>
    <w:rsid w:val="005C0A93"/>
    <w:rsid w:val="005C3027"/>
    <w:rsid w:val="005C5419"/>
    <w:rsid w:val="005C5478"/>
    <w:rsid w:val="005C5662"/>
    <w:rsid w:val="005C7BDB"/>
    <w:rsid w:val="005E760D"/>
    <w:rsid w:val="005E7D6C"/>
    <w:rsid w:val="005F23E3"/>
    <w:rsid w:val="00604CA0"/>
    <w:rsid w:val="0061481C"/>
    <w:rsid w:val="00623BF7"/>
    <w:rsid w:val="006243CF"/>
    <w:rsid w:val="00642600"/>
    <w:rsid w:val="0066260D"/>
    <w:rsid w:val="00666EDD"/>
    <w:rsid w:val="006725FA"/>
    <w:rsid w:val="00676627"/>
    <w:rsid w:val="0068766E"/>
    <w:rsid w:val="006C5A07"/>
    <w:rsid w:val="006D3DE5"/>
    <w:rsid w:val="006F0822"/>
    <w:rsid w:val="007165F4"/>
    <w:rsid w:val="00731E53"/>
    <w:rsid w:val="007356CE"/>
    <w:rsid w:val="00737259"/>
    <w:rsid w:val="007815D2"/>
    <w:rsid w:val="007819E1"/>
    <w:rsid w:val="007A1176"/>
    <w:rsid w:val="007A4D7F"/>
    <w:rsid w:val="007B6F3D"/>
    <w:rsid w:val="007B74F5"/>
    <w:rsid w:val="007B7BFA"/>
    <w:rsid w:val="007D45D4"/>
    <w:rsid w:val="007D7EF5"/>
    <w:rsid w:val="007F478E"/>
    <w:rsid w:val="00804ED8"/>
    <w:rsid w:val="00810FE2"/>
    <w:rsid w:val="00822EBB"/>
    <w:rsid w:val="00834D4D"/>
    <w:rsid w:val="00855C8A"/>
    <w:rsid w:val="00857E98"/>
    <w:rsid w:val="00866FD2"/>
    <w:rsid w:val="00873624"/>
    <w:rsid w:val="00895B34"/>
    <w:rsid w:val="0089661E"/>
    <w:rsid w:val="008B54CC"/>
    <w:rsid w:val="008D05AB"/>
    <w:rsid w:val="008E751F"/>
    <w:rsid w:val="008F0F81"/>
    <w:rsid w:val="0090153B"/>
    <w:rsid w:val="009243DB"/>
    <w:rsid w:val="00925FBD"/>
    <w:rsid w:val="00933241"/>
    <w:rsid w:val="00940CE1"/>
    <w:rsid w:val="00947A8E"/>
    <w:rsid w:val="009746F2"/>
    <w:rsid w:val="00986211"/>
    <w:rsid w:val="00991FCB"/>
    <w:rsid w:val="009A2BCF"/>
    <w:rsid w:val="009A464F"/>
    <w:rsid w:val="009B7BE8"/>
    <w:rsid w:val="009D0362"/>
    <w:rsid w:val="009E30F5"/>
    <w:rsid w:val="00A0317A"/>
    <w:rsid w:val="00A067CA"/>
    <w:rsid w:val="00A1071D"/>
    <w:rsid w:val="00A12DB5"/>
    <w:rsid w:val="00A13408"/>
    <w:rsid w:val="00A47FA0"/>
    <w:rsid w:val="00A537B3"/>
    <w:rsid w:val="00A60E64"/>
    <w:rsid w:val="00A63168"/>
    <w:rsid w:val="00A6764E"/>
    <w:rsid w:val="00A81852"/>
    <w:rsid w:val="00AA5772"/>
    <w:rsid w:val="00AA7A11"/>
    <w:rsid w:val="00AA7FB3"/>
    <w:rsid w:val="00AB479D"/>
    <w:rsid w:val="00AE1971"/>
    <w:rsid w:val="00AF630C"/>
    <w:rsid w:val="00B000B8"/>
    <w:rsid w:val="00B30F5F"/>
    <w:rsid w:val="00B42111"/>
    <w:rsid w:val="00B5145B"/>
    <w:rsid w:val="00B55DDF"/>
    <w:rsid w:val="00B74543"/>
    <w:rsid w:val="00BB39F1"/>
    <w:rsid w:val="00BB4183"/>
    <w:rsid w:val="00BB46B0"/>
    <w:rsid w:val="00BB5D8B"/>
    <w:rsid w:val="00BC05DB"/>
    <w:rsid w:val="00BC65D0"/>
    <w:rsid w:val="00BD2F8E"/>
    <w:rsid w:val="00BE604E"/>
    <w:rsid w:val="00C055AC"/>
    <w:rsid w:val="00C13420"/>
    <w:rsid w:val="00C2057F"/>
    <w:rsid w:val="00C2354F"/>
    <w:rsid w:val="00C548DB"/>
    <w:rsid w:val="00C55811"/>
    <w:rsid w:val="00C742CC"/>
    <w:rsid w:val="00C75B43"/>
    <w:rsid w:val="00C8772F"/>
    <w:rsid w:val="00CA0569"/>
    <w:rsid w:val="00CA14A1"/>
    <w:rsid w:val="00CA635B"/>
    <w:rsid w:val="00CA6B2B"/>
    <w:rsid w:val="00CC3313"/>
    <w:rsid w:val="00CD1EBE"/>
    <w:rsid w:val="00CE0848"/>
    <w:rsid w:val="00CF10B5"/>
    <w:rsid w:val="00D03BCE"/>
    <w:rsid w:val="00D154C9"/>
    <w:rsid w:val="00D164B6"/>
    <w:rsid w:val="00D2164B"/>
    <w:rsid w:val="00D43267"/>
    <w:rsid w:val="00D53379"/>
    <w:rsid w:val="00D8312C"/>
    <w:rsid w:val="00D93D5D"/>
    <w:rsid w:val="00DA4C1C"/>
    <w:rsid w:val="00DA511D"/>
    <w:rsid w:val="00DA6080"/>
    <w:rsid w:val="00DB542E"/>
    <w:rsid w:val="00DC03AF"/>
    <w:rsid w:val="00DC226A"/>
    <w:rsid w:val="00DC7859"/>
    <w:rsid w:val="00DD2770"/>
    <w:rsid w:val="00E35777"/>
    <w:rsid w:val="00E362FE"/>
    <w:rsid w:val="00E6188C"/>
    <w:rsid w:val="00E627B0"/>
    <w:rsid w:val="00E77D13"/>
    <w:rsid w:val="00E8078F"/>
    <w:rsid w:val="00E83CE6"/>
    <w:rsid w:val="00E86621"/>
    <w:rsid w:val="00EA4996"/>
    <w:rsid w:val="00EA4F74"/>
    <w:rsid w:val="00EB07B9"/>
    <w:rsid w:val="00EC5C70"/>
    <w:rsid w:val="00ED49C0"/>
    <w:rsid w:val="00F02E4A"/>
    <w:rsid w:val="00F070E8"/>
    <w:rsid w:val="00F44525"/>
    <w:rsid w:val="00F44CAE"/>
    <w:rsid w:val="00F63600"/>
    <w:rsid w:val="00F63964"/>
    <w:rsid w:val="00F66553"/>
    <w:rsid w:val="00F725F0"/>
    <w:rsid w:val="00F74427"/>
    <w:rsid w:val="00F749CE"/>
    <w:rsid w:val="00FB1B8F"/>
    <w:rsid w:val="00FB1D2B"/>
    <w:rsid w:val="00FD3890"/>
    <w:rsid w:val="00FE306F"/>
    <w:rsid w:val="00FE4D2D"/>
    <w:rsid w:val="00FF1996"/>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2186E"/>
  <w15:docId w15:val="{4C60C559-8CEC-4650-9500-F67A26F1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D0058"/>
    <w:rsid w:val="000E2C70"/>
    <w:rsid w:val="000F4F1D"/>
    <w:rsid w:val="002415D3"/>
    <w:rsid w:val="0024550E"/>
    <w:rsid w:val="002C6487"/>
    <w:rsid w:val="002F2A23"/>
    <w:rsid w:val="003B224E"/>
    <w:rsid w:val="003F6567"/>
    <w:rsid w:val="00455EAE"/>
    <w:rsid w:val="00456F3E"/>
    <w:rsid w:val="004800A8"/>
    <w:rsid w:val="004D4026"/>
    <w:rsid w:val="00524337"/>
    <w:rsid w:val="00527D16"/>
    <w:rsid w:val="0054118E"/>
    <w:rsid w:val="00541A3C"/>
    <w:rsid w:val="005A0140"/>
    <w:rsid w:val="005B1EB5"/>
    <w:rsid w:val="005D122A"/>
    <w:rsid w:val="0061629A"/>
    <w:rsid w:val="00643605"/>
    <w:rsid w:val="00674C49"/>
    <w:rsid w:val="006E202E"/>
    <w:rsid w:val="00754A85"/>
    <w:rsid w:val="007F44A7"/>
    <w:rsid w:val="00836EED"/>
    <w:rsid w:val="008D22E9"/>
    <w:rsid w:val="00916827"/>
    <w:rsid w:val="00942EC5"/>
    <w:rsid w:val="009A1CF8"/>
    <w:rsid w:val="009E4E02"/>
    <w:rsid w:val="00A4743F"/>
    <w:rsid w:val="00A555F1"/>
    <w:rsid w:val="00A908FB"/>
    <w:rsid w:val="00A92941"/>
    <w:rsid w:val="00AD73AB"/>
    <w:rsid w:val="00AE0D7F"/>
    <w:rsid w:val="00B3644C"/>
    <w:rsid w:val="00B40FB1"/>
    <w:rsid w:val="00BA3784"/>
    <w:rsid w:val="00C35A82"/>
    <w:rsid w:val="00CA6C0F"/>
    <w:rsid w:val="00D323B8"/>
    <w:rsid w:val="00D70D61"/>
    <w:rsid w:val="00D76E75"/>
    <w:rsid w:val="00DC5581"/>
    <w:rsid w:val="00E037C5"/>
    <w:rsid w:val="00E25F5E"/>
    <w:rsid w:val="00E671CD"/>
    <w:rsid w:val="00E91AA1"/>
    <w:rsid w:val="00E9386B"/>
    <w:rsid w:val="00EB56A5"/>
    <w:rsid w:val="00F66508"/>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29A"/>
    <w:rPr>
      <w:color w:val="808080"/>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2B44B-DE71-4C3B-B73A-AC3415F6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Pages>
  <Words>1655</Words>
  <Characters>9435</Characters>
  <Application>Microsoft Office Word</Application>
  <DocSecurity>0</DocSecurity>
  <Lines>78</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Harison</dc:creator>
  <cp:lastModifiedBy>Ани Х. Павлова</cp:lastModifiedBy>
  <cp:revision>2</cp:revision>
  <dcterms:created xsi:type="dcterms:W3CDTF">2024-06-11T06:25:00Z</dcterms:created>
  <dcterms:modified xsi:type="dcterms:W3CDTF">2024-06-11T06:25:00Z</dcterms:modified>
</cp:coreProperties>
</file>