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286024" w:rsidP="00AE1971">
          <w:pPr>
            <w:tabs>
              <w:tab w:val="left" w:pos="5370"/>
            </w:tabs>
            <w:jc w:val="center"/>
            <w:rPr>
              <w:rFonts w:cs="Times New Roman"/>
              <w:szCs w:val="24"/>
              <w:lang w:val="bg-BG"/>
            </w:rPr>
          </w:pPr>
          <w:r>
            <w:rPr>
              <w:rStyle w:val="BookTitle"/>
              <w:sz w:val="36"/>
              <w:szCs w:val="36"/>
              <w:lang w:val="bg-BG"/>
            </w:rPr>
            <w:t>Обществени поръчки</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3C5DFF"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3C5DFF"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286024" w:rsidP="003C5DFF">
                <w:pPr>
                  <w:rPr>
                    <w:rFonts w:cs="Times New Roman"/>
                    <w:szCs w:val="24"/>
                    <w:lang w:val="bg-BG"/>
                  </w:rPr>
                </w:pPr>
                <w:r>
                  <w:rPr>
                    <w:rFonts w:cs="Times New Roman"/>
                    <w:szCs w:val="24"/>
                    <w:lang w:val="bg-BG"/>
                  </w:rPr>
                  <w:t>Гл. ас д-р Антония Илиева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3C5DFF"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C630E4"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3C5DFF"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3C5DFF"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3C5DFF" w:rsidP="003C5DFF">
                <w:pPr>
                  <w:rPr>
                    <w:rFonts w:cs="Times New Roman"/>
                    <w:szCs w:val="24"/>
                    <w:lang w:val="bg-BG" w:eastAsia="zh-TW"/>
                  </w:rPr>
                </w:pPr>
                <w:r>
                  <w:rPr>
                    <w:rFonts w:cs="Times New Roman"/>
                    <w:szCs w:val="24"/>
                    <w:lang w:val="bg-BG"/>
                  </w:rPr>
                  <w:t>-</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3C5DFF" w:rsidRDefault="00286024" w:rsidP="003C5DFF">
          <w:pPr>
            <w:tabs>
              <w:tab w:val="left" w:pos="6900"/>
            </w:tabs>
            <w:jc w:val="both"/>
          </w:pPr>
          <w:r>
            <w:t>1.</w:t>
          </w:r>
          <w:r>
            <w:rPr>
              <w:lang w:val="bg-BG"/>
            </w:rPr>
            <w:t>Общ преглед на нормативната уредба в сферата на обществените поръчки. Исторически обзор</w:t>
          </w:r>
          <w:r w:rsidR="003C5DFF">
            <w:t>.</w:t>
          </w:r>
        </w:p>
        <w:p w:rsidR="003C5DFF" w:rsidRDefault="00286024" w:rsidP="003C5DFF">
          <w:pPr>
            <w:tabs>
              <w:tab w:val="left" w:pos="6900"/>
            </w:tabs>
            <w:jc w:val="both"/>
          </w:pPr>
          <w:r>
            <w:t>2.</w:t>
          </w:r>
          <w:r>
            <w:rPr>
              <w:lang w:val="bg-BG"/>
            </w:rPr>
            <w:t>Правно понятие за обществена поръчка по смисъла на Закона за обществените поръчки</w:t>
          </w:r>
          <w:r w:rsidR="003C5DFF">
            <w:t>.</w:t>
          </w:r>
        </w:p>
        <w:p w:rsidR="003C5DFF" w:rsidRDefault="00286024" w:rsidP="003C5DFF">
          <w:pPr>
            <w:tabs>
              <w:tab w:val="left" w:pos="6900"/>
            </w:tabs>
            <w:jc w:val="both"/>
          </w:pPr>
          <w:r>
            <w:t>3.</w:t>
          </w:r>
          <w:r>
            <w:rPr>
              <w:lang w:val="bg-BG"/>
            </w:rPr>
            <w:t>Цел и принципи за възлагане на обществените поръчки</w:t>
          </w:r>
          <w:r w:rsidR="003C5DFF">
            <w:t>.</w:t>
          </w:r>
        </w:p>
        <w:p w:rsidR="003C5DFF" w:rsidRPr="00286024" w:rsidRDefault="00286024" w:rsidP="003C5DFF">
          <w:pPr>
            <w:tabs>
              <w:tab w:val="left" w:pos="6900"/>
            </w:tabs>
            <w:jc w:val="both"/>
            <w:rPr>
              <w:lang w:val="bg-BG"/>
            </w:rPr>
          </w:pPr>
          <w:r>
            <w:t>4.</w:t>
          </w:r>
          <w:r>
            <w:rPr>
              <w:lang w:val="bg-BG"/>
            </w:rPr>
            <w:t>Обект и предмет на обществените поръчки. Номенклатури</w:t>
          </w:r>
          <w:r w:rsidR="003C5DFF">
            <w:t>.</w:t>
          </w:r>
          <w:r>
            <w:rPr>
              <w:lang w:val="bg-BG"/>
            </w:rPr>
            <w:t xml:space="preserve"> Общ терминологичен речник (</w:t>
          </w:r>
          <w:r w:rsidRPr="00286024">
            <w:rPr>
              <w:lang w:val="bg-BG"/>
            </w:rPr>
            <w:t>CPV)</w:t>
          </w:r>
          <w:r>
            <w:rPr>
              <w:lang w:val="bg-BG"/>
            </w:rPr>
            <w:t>. Стойностни прагове</w:t>
          </w:r>
        </w:p>
        <w:p w:rsidR="003C5DFF" w:rsidRPr="00286024" w:rsidRDefault="00286024" w:rsidP="003C5DFF">
          <w:pPr>
            <w:tabs>
              <w:tab w:val="left" w:pos="6900"/>
            </w:tabs>
            <w:jc w:val="both"/>
            <w:rPr>
              <w:lang w:val="bg-BG"/>
            </w:rPr>
          </w:pPr>
          <w:r>
            <w:t>5.</w:t>
          </w:r>
          <w:r>
            <w:rPr>
              <w:lang w:val="bg-BG"/>
            </w:rPr>
            <w:t>Възложители. Възложители за конкретен случай</w:t>
          </w:r>
          <w:r w:rsidR="003C5DFF">
            <w:t>.</w:t>
          </w:r>
          <w:r>
            <w:rPr>
              <w:lang w:val="bg-BG"/>
            </w:rPr>
            <w:t xml:space="preserve"> Делегиране на правомощия</w:t>
          </w:r>
        </w:p>
        <w:p w:rsidR="003C5DFF" w:rsidRPr="00286024" w:rsidRDefault="00286024" w:rsidP="003C5DFF">
          <w:pPr>
            <w:tabs>
              <w:tab w:val="left" w:pos="6900"/>
            </w:tabs>
            <w:jc w:val="both"/>
            <w:rPr>
              <w:lang w:val="bg-BG"/>
            </w:rPr>
          </w:pPr>
          <w:r>
            <w:t>6.</w:t>
          </w:r>
          <w:r>
            <w:rPr>
              <w:lang w:val="bg-BG"/>
            </w:rPr>
            <w:t>Кандидати, участници, изпълнители и подизпълнители на обществените поръчки</w:t>
          </w:r>
          <w:r w:rsidR="003C5DFF">
            <w:t>.</w:t>
          </w:r>
          <w:r>
            <w:rPr>
              <w:lang w:val="bg-BG"/>
            </w:rPr>
            <w:t xml:space="preserve"> Трети лица.</w:t>
          </w:r>
        </w:p>
        <w:p w:rsidR="003C5DFF" w:rsidRPr="00286024" w:rsidRDefault="00286024" w:rsidP="003C5DFF">
          <w:pPr>
            <w:tabs>
              <w:tab w:val="left" w:pos="6900"/>
            </w:tabs>
            <w:jc w:val="both"/>
            <w:rPr>
              <w:lang w:val="bg-BG"/>
            </w:rPr>
          </w:pPr>
          <w:r>
            <w:t>7.</w:t>
          </w:r>
          <w:r>
            <w:rPr>
              <w:lang w:val="bg-BG"/>
            </w:rPr>
            <w:t>Видове процедури за възлагане и правила за избор на процедура</w:t>
          </w:r>
          <w:r w:rsidR="003C5DFF">
            <w:t>.</w:t>
          </w:r>
          <w:r>
            <w:rPr>
              <w:lang w:val="bg-BG"/>
            </w:rPr>
            <w:t xml:space="preserve"> Обща характеристика. Видове решения на възложителите.</w:t>
          </w:r>
        </w:p>
        <w:p w:rsidR="003C5DFF" w:rsidRPr="00286024" w:rsidRDefault="00286024" w:rsidP="003C5DFF">
          <w:pPr>
            <w:tabs>
              <w:tab w:val="left" w:pos="6900"/>
            </w:tabs>
            <w:jc w:val="both"/>
            <w:rPr>
              <w:lang w:val="bg-BG"/>
            </w:rPr>
          </w:pPr>
          <w:r>
            <w:t>8.</w:t>
          </w:r>
          <w:r>
            <w:rPr>
              <w:lang w:val="bg-BG"/>
            </w:rPr>
            <w:t>Подготовка за възлагане на обществена поръчка</w:t>
          </w:r>
          <w:r w:rsidR="003C5DFF">
            <w:t>.</w:t>
          </w:r>
          <w:r>
            <w:rPr>
              <w:lang w:val="bg-BG"/>
            </w:rPr>
            <w:t xml:space="preserve"> Изисквания към кандидатите и участниците.</w:t>
          </w:r>
        </w:p>
        <w:p w:rsidR="003C5DFF" w:rsidRDefault="00857BC1" w:rsidP="003C5DFF">
          <w:pPr>
            <w:tabs>
              <w:tab w:val="left" w:pos="6900"/>
            </w:tabs>
            <w:jc w:val="both"/>
          </w:pPr>
          <w:r>
            <w:t>9.Провеждане и приключване на процедури за възлагане на обществени поръчки</w:t>
          </w:r>
          <w:r w:rsidR="003C5DFF">
            <w:t>.</w:t>
          </w:r>
        </w:p>
        <w:p w:rsidR="003C5DFF" w:rsidRPr="00857BC1" w:rsidRDefault="00857BC1" w:rsidP="003C5DFF">
          <w:pPr>
            <w:tabs>
              <w:tab w:val="left" w:pos="6900"/>
            </w:tabs>
            <w:jc w:val="both"/>
            <w:rPr>
              <w:lang w:val="bg-BG"/>
            </w:rPr>
          </w:pPr>
          <w:r>
            <w:t>10.</w:t>
          </w:r>
          <w:r>
            <w:rPr>
              <w:lang w:val="bg-BG"/>
            </w:rPr>
            <w:t>Икономически най-изгодна оферта. Критерии за възлагане</w:t>
          </w:r>
          <w:r w:rsidR="003C5DFF">
            <w:t>.</w:t>
          </w:r>
          <w:r>
            <w:rPr>
              <w:lang w:val="bg-BG"/>
            </w:rPr>
            <w:t xml:space="preserve"> Необичайно благоприятна оферта.</w:t>
          </w:r>
        </w:p>
        <w:p w:rsidR="003C5DFF" w:rsidRPr="00857BC1" w:rsidRDefault="00857BC1" w:rsidP="003C5DFF">
          <w:pPr>
            <w:tabs>
              <w:tab w:val="left" w:pos="6900"/>
            </w:tabs>
            <w:jc w:val="both"/>
            <w:rPr>
              <w:lang w:val="bg-BG"/>
            </w:rPr>
          </w:pPr>
          <w:r>
            <w:t>11.</w:t>
          </w:r>
          <w:r>
            <w:rPr>
              <w:lang w:val="bg-BG"/>
            </w:rPr>
            <w:t>Договор за обществена поръчка. Гаранции по договора. Договор за подизпълнение</w:t>
          </w:r>
          <w:r w:rsidR="003C5DFF">
            <w:t>.</w:t>
          </w:r>
          <w:r>
            <w:rPr>
              <w:lang w:val="bg-BG"/>
            </w:rPr>
            <w:t xml:space="preserve"> Рамково споразумение.</w:t>
          </w:r>
        </w:p>
        <w:p w:rsidR="003C5DFF" w:rsidRPr="00857BC1" w:rsidRDefault="00857BC1" w:rsidP="003C5DFF">
          <w:pPr>
            <w:tabs>
              <w:tab w:val="left" w:pos="6900"/>
            </w:tabs>
            <w:jc w:val="both"/>
            <w:rPr>
              <w:lang w:val="bg-BG"/>
            </w:rPr>
          </w:pPr>
          <w:r>
            <w:t xml:space="preserve">12. </w:t>
          </w:r>
          <w:r>
            <w:rPr>
              <w:lang w:val="bg-BG"/>
            </w:rPr>
            <w:t>Способи за възлагане. Стойностни прагове</w:t>
          </w:r>
          <w:r w:rsidR="003C5DFF">
            <w:t>.</w:t>
          </w:r>
          <w:r>
            <w:rPr>
              <w:lang w:val="bg-BG"/>
            </w:rPr>
            <w:t xml:space="preserve"> Събиране на оферти с обява. Покана до определени лица.</w:t>
          </w:r>
        </w:p>
        <w:p w:rsidR="003C5DFF" w:rsidRDefault="003C5DFF" w:rsidP="003C5DFF">
          <w:pPr>
            <w:tabs>
              <w:tab w:val="left" w:pos="6900"/>
            </w:tabs>
            <w:jc w:val="both"/>
          </w:pPr>
          <w:r>
            <w:t>1</w:t>
          </w:r>
          <w:r w:rsidR="00857BC1">
            <w:t>3.</w:t>
          </w:r>
          <w:r w:rsidR="00857BC1">
            <w:rPr>
              <w:lang w:val="bg-BG"/>
            </w:rPr>
            <w:t>Държавни органи, осъществяващи контрол в сферата на обществените поръчки</w:t>
          </w:r>
          <w:r>
            <w:t>.</w:t>
          </w:r>
        </w:p>
        <w:p w:rsidR="003C5DFF" w:rsidRDefault="00857BC1" w:rsidP="003C5DFF">
          <w:pPr>
            <w:tabs>
              <w:tab w:val="left" w:pos="6900"/>
            </w:tabs>
            <w:jc w:val="both"/>
          </w:pPr>
          <w:r>
            <w:lastRenderedPageBreak/>
            <w:t>14.</w:t>
          </w:r>
          <w:r>
            <w:rPr>
              <w:lang w:val="bg-BG"/>
            </w:rPr>
            <w:t>Първоинстанционно обжалване на индивидуални административни актове по реда на Закона за обществените поръчки</w:t>
          </w:r>
          <w:r w:rsidR="003C5DFF">
            <w:t>.</w:t>
          </w:r>
        </w:p>
        <w:p w:rsidR="003C5DFF" w:rsidRDefault="00857BC1" w:rsidP="003C5DFF">
          <w:pPr>
            <w:tabs>
              <w:tab w:val="left" w:pos="6900"/>
            </w:tabs>
            <w:jc w:val="both"/>
          </w:pPr>
          <w:r>
            <w:t>15.</w:t>
          </w:r>
          <w:r>
            <w:rPr>
              <w:lang w:val="bg-BG"/>
            </w:rPr>
            <w:t>Касационно производство</w:t>
          </w:r>
          <w:r w:rsidR="003C5DFF">
            <w:t>.</w:t>
          </w:r>
        </w:p>
        <w:p w:rsidR="00DA6080" w:rsidRPr="00332A0B" w:rsidRDefault="00857BC1" w:rsidP="003C5DFF">
          <w:pPr>
            <w:tabs>
              <w:tab w:val="left" w:pos="6900"/>
            </w:tabs>
            <w:jc w:val="both"/>
          </w:pPr>
          <w:r>
            <w:t>16.</w:t>
          </w:r>
          <w:r>
            <w:rPr>
              <w:lang w:val="bg-BG"/>
            </w:rPr>
            <w:t>Административно-наказателна отговорност за нарушения в областта на обществените поръчки. Видове състави на административни нарушения по ЗОП</w:t>
          </w:r>
          <w:r w:rsidR="003C5DFF">
            <w:t>.</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rPr>
          <w:rFonts w:cstheme="minorBidi"/>
          <w:szCs w:val="22"/>
        </w:rPr>
      </w:sdtEndPr>
      <w:sdtContent>
        <w:p w:rsidR="003C5DFF" w:rsidRDefault="003C5DFF" w:rsidP="0068766E">
          <w:pPr>
            <w:jc w:val="both"/>
            <w:rPr>
              <w:rFonts w:cs="Times New Roman"/>
              <w:szCs w:val="24"/>
              <w:lang w:val="bg-BG"/>
            </w:rPr>
          </w:pPr>
          <w:r>
            <w:rPr>
              <w:rFonts w:cs="Times New Roman"/>
              <w:szCs w:val="24"/>
              <w:lang w:val="bg-BG"/>
            </w:rPr>
            <w:t>Основна:</w:t>
          </w:r>
        </w:p>
        <w:p w:rsidR="003C5DFF" w:rsidRDefault="003C5DFF" w:rsidP="0068766E">
          <w:pPr>
            <w:jc w:val="both"/>
            <w:rPr>
              <w:rFonts w:cs="Times New Roman"/>
              <w:szCs w:val="24"/>
              <w:lang w:val="bg-BG"/>
            </w:rPr>
          </w:pPr>
          <w:r>
            <w:rPr>
              <w:rFonts w:cs="Times New Roman"/>
              <w:szCs w:val="24"/>
              <w:lang w:val="bg-BG"/>
            </w:rPr>
            <w:t xml:space="preserve">1. </w:t>
          </w:r>
          <w:r w:rsidR="00857BC1">
            <w:rPr>
              <w:rFonts w:cs="Times New Roman"/>
              <w:szCs w:val="24"/>
              <w:lang w:val="bg-BG"/>
            </w:rPr>
            <w:t>Илиева, А</w:t>
          </w:r>
          <w:r w:rsidRPr="003C5DFF">
            <w:rPr>
              <w:rFonts w:cs="Times New Roman"/>
              <w:szCs w:val="24"/>
              <w:lang w:val="bg-BG"/>
            </w:rPr>
            <w:t>.</w:t>
          </w:r>
          <w:r w:rsidR="00857BC1">
            <w:rPr>
              <w:rFonts w:cs="Times New Roman"/>
              <w:szCs w:val="24"/>
              <w:lang w:val="bg-BG"/>
            </w:rPr>
            <w:t>, Станкулов, П.</w:t>
          </w:r>
          <w:r w:rsidR="00C25027">
            <w:rPr>
              <w:rFonts w:cs="Times New Roman"/>
              <w:szCs w:val="24"/>
              <w:lang w:val="bg-BG"/>
            </w:rPr>
            <w:t>, Правен режим на обществените поръчки по ЗОП. Ръководство за студенти и практици, Сиела Норма АД, София, 2019</w:t>
          </w:r>
          <w:r>
            <w:rPr>
              <w:rFonts w:cs="Times New Roman"/>
              <w:szCs w:val="24"/>
              <w:lang w:val="bg-BG"/>
            </w:rPr>
            <w:t>г.</w:t>
          </w:r>
        </w:p>
        <w:p w:rsidR="003C5DFF" w:rsidRDefault="003C5DFF" w:rsidP="0068766E">
          <w:pPr>
            <w:jc w:val="both"/>
            <w:rPr>
              <w:rFonts w:cs="Times New Roman"/>
              <w:szCs w:val="24"/>
              <w:lang w:val="bg-BG"/>
            </w:rPr>
          </w:pPr>
          <w:r>
            <w:rPr>
              <w:rFonts w:cs="Times New Roman"/>
              <w:szCs w:val="24"/>
              <w:lang w:val="bg-BG"/>
            </w:rPr>
            <w:t>2.</w:t>
          </w:r>
          <w:r w:rsidRPr="003C5DFF">
            <w:t xml:space="preserve"> </w:t>
          </w:r>
          <w:r w:rsidR="00C25027">
            <w:rPr>
              <w:rFonts w:cs="Times New Roman"/>
              <w:szCs w:val="24"/>
              <w:lang w:val="bg-BG"/>
            </w:rPr>
            <w:t xml:space="preserve">Станкулов, П. </w:t>
          </w:r>
          <w:r w:rsidR="00C25027" w:rsidRPr="00C25027">
            <w:rPr>
              <w:rFonts w:cs="Times New Roman"/>
              <w:szCs w:val="24"/>
              <w:lang w:val="bg-BG"/>
            </w:rPr>
            <w:t>Обществени поръчки. Сборник правна практика, правен анализ и правни изводи</w:t>
          </w:r>
          <w:r w:rsidR="00C25027">
            <w:rPr>
              <w:rFonts w:cs="Times New Roman"/>
              <w:szCs w:val="24"/>
              <w:lang w:val="bg-BG"/>
            </w:rPr>
            <w:t>., София, 2018</w:t>
          </w:r>
          <w:r w:rsidRPr="003C5DFF">
            <w:rPr>
              <w:rFonts w:cs="Times New Roman"/>
              <w:szCs w:val="24"/>
              <w:lang w:val="bg-BG"/>
            </w:rPr>
            <w:t>;</w:t>
          </w:r>
        </w:p>
        <w:p w:rsidR="003C5DFF" w:rsidRDefault="003C5DFF" w:rsidP="0068766E">
          <w:pPr>
            <w:jc w:val="both"/>
            <w:rPr>
              <w:rFonts w:cs="Times New Roman"/>
              <w:szCs w:val="24"/>
              <w:lang w:val="bg-BG"/>
            </w:rPr>
          </w:pPr>
          <w:r>
            <w:rPr>
              <w:rFonts w:cs="Times New Roman"/>
              <w:szCs w:val="24"/>
              <w:lang w:val="bg-BG"/>
            </w:rPr>
            <w:t>3.</w:t>
          </w:r>
          <w:r w:rsidRPr="003C5DFF">
            <w:t xml:space="preserve"> </w:t>
          </w:r>
          <w:r w:rsidR="00C25027">
            <w:rPr>
              <w:rFonts w:cs="Times New Roman"/>
              <w:szCs w:val="24"/>
              <w:lang w:val="bg-BG"/>
            </w:rPr>
            <w:t xml:space="preserve">Станкулов, П., </w:t>
          </w:r>
          <w:r w:rsidR="00C25027" w:rsidRPr="00C25027">
            <w:rPr>
              <w:rFonts w:cs="Times New Roman"/>
              <w:szCs w:val="24"/>
              <w:lang w:val="bg-BG"/>
            </w:rPr>
            <w:t>Защита на Възложителите по закона за обществените поръчки</w:t>
          </w:r>
          <w:r w:rsidR="00C25027">
            <w:rPr>
              <w:rFonts w:cs="Times New Roman"/>
              <w:szCs w:val="24"/>
              <w:lang w:val="bg-BG"/>
            </w:rPr>
            <w:t>, София, 2017;</w:t>
          </w:r>
        </w:p>
        <w:p w:rsidR="003C5DFF" w:rsidRDefault="003C5DFF" w:rsidP="0068766E">
          <w:pPr>
            <w:jc w:val="both"/>
            <w:rPr>
              <w:rFonts w:cs="Times New Roman"/>
              <w:szCs w:val="24"/>
              <w:lang w:val="bg-BG"/>
            </w:rPr>
          </w:pPr>
          <w:r>
            <w:rPr>
              <w:rFonts w:cs="Times New Roman"/>
              <w:szCs w:val="24"/>
              <w:lang w:val="bg-BG"/>
            </w:rPr>
            <w:t>4.</w:t>
          </w:r>
          <w:r w:rsidRPr="003C5DFF">
            <w:t xml:space="preserve"> </w:t>
          </w:r>
          <w:r w:rsidR="00C25027">
            <w:rPr>
              <w:lang w:val="bg-BG"/>
            </w:rPr>
            <w:t xml:space="preserve">Марков, М., Димова, Е., Александров, А., Кацарова, М. </w:t>
          </w:r>
          <w:r w:rsidR="00C25027">
            <w:rPr>
              <w:rFonts w:cs="Times New Roman"/>
              <w:szCs w:val="24"/>
              <w:lang w:val="bg-BG"/>
            </w:rPr>
            <w:t>Коментар-Обществени поръчки, ИК „Труд и право“, София, 2016</w:t>
          </w:r>
          <w:r>
            <w:rPr>
              <w:rFonts w:cs="Times New Roman"/>
              <w:szCs w:val="24"/>
              <w:lang w:val="bg-BG"/>
            </w:rPr>
            <w:t>.</w:t>
          </w:r>
        </w:p>
        <w:p w:rsidR="003C5DFF" w:rsidRDefault="003C5DFF" w:rsidP="0068766E">
          <w:pPr>
            <w:jc w:val="both"/>
            <w:rPr>
              <w:rFonts w:cs="Times New Roman"/>
              <w:szCs w:val="24"/>
              <w:lang w:val="bg-BG"/>
            </w:rPr>
          </w:pPr>
        </w:p>
        <w:p w:rsidR="003C5DFF" w:rsidRDefault="003C5DFF" w:rsidP="0068766E">
          <w:pPr>
            <w:jc w:val="both"/>
            <w:rPr>
              <w:rFonts w:cs="Times New Roman"/>
              <w:szCs w:val="24"/>
              <w:lang w:val="bg-BG"/>
            </w:rPr>
          </w:pPr>
          <w:r>
            <w:rPr>
              <w:rFonts w:cs="Times New Roman"/>
              <w:szCs w:val="24"/>
              <w:lang w:val="bg-BG"/>
            </w:rPr>
            <w:t>Допълнителна:</w:t>
          </w:r>
        </w:p>
        <w:p w:rsidR="003C5DFF" w:rsidRDefault="003C5DFF" w:rsidP="003C5DFF">
          <w:pPr>
            <w:jc w:val="both"/>
            <w:rPr>
              <w:rFonts w:cs="Times New Roman"/>
              <w:szCs w:val="24"/>
              <w:lang w:val="bg-BG"/>
            </w:rPr>
          </w:pPr>
        </w:p>
        <w:p w:rsidR="00C25027" w:rsidRDefault="003C5DFF" w:rsidP="003C5DFF">
          <w:pPr>
            <w:jc w:val="both"/>
            <w:rPr>
              <w:rFonts w:cs="Times New Roman"/>
              <w:szCs w:val="24"/>
              <w:lang w:val="bg-BG"/>
            </w:rPr>
          </w:pPr>
          <w:r>
            <w:rPr>
              <w:rFonts w:cs="Times New Roman"/>
              <w:szCs w:val="24"/>
              <w:lang w:val="bg-BG"/>
            </w:rPr>
            <w:t>1.</w:t>
          </w:r>
          <w:r w:rsidR="00C25027">
            <w:rPr>
              <w:rFonts w:cs="Times New Roman"/>
              <w:szCs w:val="24"/>
              <w:lang w:val="bg-BG"/>
            </w:rPr>
            <w:t>Закон за Обществените поръчки</w:t>
          </w:r>
          <w:r>
            <w:rPr>
              <w:rFonts w:cs="Times New Roman"/>
              <w:szCs w:val="24"/>
              <w:lang w:val="bg-BG"/>
            </w:rPr>
            <w:t>.</w:t>
          </w:r>
        </w:p>
        <w:p w:rsidR="00071625" w:rsidRPr="003C5DFF" w:rsidRDefault="00C25027" w:rsidP="003C5DFF">
          <w:pPr>
            <w:jc w:val="both"/>
            <w:rPr>
              <w:rFonts w:cs="Times New Roman"/>
              <w:szCs w:val="24"/>
              <w:lang w:val="bg-BG"/>
            </w:rPr>
          </w:pPr>
          <w:r>
            <w:rPr>
              <w:rFonts w:cs="Times New Roman"/>
              <w:szCs w:val="24"/>
              <w:lang w:val="bg-BG"/>
            </w:rPr>
            <w:t>2.Правилник за прилагане на Закона за обществените поръчки.</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3C5DFF" w:rsidP="00FB1D2B">
          <w:pPr>
            <w:jc w:val="both"/>
            <w:rPr>
              <w:rFonts w:cs="Times New Roman"/>
              <w:szCs w:val="24"/>
              <w:lang w:val="bg-BG"/>
            </w:rPr>
          </w:pPr>
          <w:r w:rsidRPr="003C5DFF">
            <w:rPr>
              <w:rFonts w:cs="Times New Roman"/>
              <w:szCs w:val="24"/>
              <w:lang w:val="bg-BG"/>
            </w:rPr>
            <w:t>На студентите се поставят задачи под формата на тематични  казуси за изпълнение, както</w:t>
          </w:r>
          <w:r w:rsidR="00C630E4">
            <w:rPr>
              <w:rFonts w:cs="Times New Roman"/>
              <w:szCs w:val="24"/>
              <w:lang w:val="bg-BG"/>
            </w:rPr>
            <w:t xml:space="preserve"> по време на лекционният курс</w:t>
          </w:r>
          <w:r w:rsidRPr="003C5DFF">
            <w:rPr>
              <w:rFonts w:cs="Times New Roman"/>
              <w:szCs w:val="24"/>
              <w:lang w:val="bg-BG"/>
            </w:rPr>
            <w:t xml:space="preserve">, така и за самостоятелна подготовка. Текущите оценки, които се поставят върху изпълнените тематични казуси, се взимат под внимание от страна на титуляра на дисциплината при формиране на крайната оценка получена от студента при явяването му на изпит </w:t>
          </w:r>
          <w:r w:rsidR="00C25027">
            <w:rPr>
              <w:rFonts w:cs="Times New Roman"/>
              <w:szCs w:val="24"/>
              <w:lang w:val="bg-BG"/>
            </w:rPr>
            <w:t>по дисциплината: „Обществени поръчки</w:t>
          </w:r>
          <w:r w:rsidRPr="003C5DFF">
            <w:rPr>
              <w:rFonts w:cs="Times New Roman"/>
              <w:szCs w:val="24"/>
              <w:lang w:val="bg-BG"/>
            </w:rPr>
            <w:t>“. Оценката се формира по следния начин:80% се формират въз основа на показаните знания от страна на студента при провеждане на писменият изпит, 20% се формират от оценките поставени</w:t>
          </w:r>
          <w:r w:rsidR="00C630E4">
            <w:rPr>
              <w:rFonts w:cs="Times New Roman"/>
              <w:szCs w:val="24"/>
              <w:lang w:val="bg-BG"/>
            </w:rPr>
            <w:t xml:space="preserve"> по време на тематичните казуси решавани в лекционният курс</w:t>
          </w:r>
          <w:r w:rsidRPr="003C5DFF">
            <w:rPr>
              <w:rFonts w:cs="Times New Roman"/>
              <w:szCs w:val="24"/>
              <w:lang w:val="bg-BG"/>
            </w:rPr>
            <w:t>.</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3C5DFF"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3C5DFF" w:rsidP="00FF4CA3">
          <w:pPr>
            <w:jc w:val="both"/>
            <w:rPr>
              <w:rFonts w:cs="Times New Roman"/>
              <w:szCs w:val="24"/>
              <w:lang w:val="bg-BG"/>
            </w:rPr>
          </w:pPr>
          <w:r w:rsidRPr="003C5DFF">
            <w:rPr>
              <w:rFonts w:cs="Times New Roman"/>
              <w:szCs w:val="24"/>
              <w:lang w:val="bg-BG"/>
            </w:rPr>
            <w:t>Изпита е писмен. Студентите трябва да развият два самостоятелни въпроса.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lastRenderedPageBreak/>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3C5DFF" w:rsidP="00FF4CA3">
          <w:pPr>
            <w:jc w:val="both"/>
            <w:rPr>
              <w:rFonts w:cs="Times New Roman"/>
              <w:szCs w:val="24"/>
              <w:lang w:val="bg-BG"/>
            </w:rPr>
          </w:pPr>
          <w:r w:rsidRPr="003C5DFF">
            <w:rPr>
              <w:rFonts w:cs="Times New Roman"/>
              <w:szCs w:val="24"/>
              <w:lang w:val="bg-BG"/>
            </w:rPr>
            <w:t>За успешното полагане на изпита е необходимо, студентите да са развили  писмен отговор и по двата поставени въпроса. Задължително условие е, изложението да е конкретно по зададената тема, а развиването на поставените въпроси да се придържа към основата на преподадения по време на лекционният курс материал. Преподавателят си запазва правото да зададе допълнителни въпроси на студенти, при формиране на крайната оценка.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3C5DFF" w:rsidP="00470C68">
          <w:pPr>
            <w:jc w:val="both"/>
            <w:rPr>
              <w:rFonts w:cs="Times New Roman"/>
              <w:szCs w:val="24"/>
              <w:lang w:val="bg-BG"/>
            </w:rPr>
          </w:pPr>
          <w:r w:rsidRPr="003C5DFF">
            <w:rPr>
              <w:rFonts w:cs="Times New Roman"/>
              <w:szCs w:val="24"/>
              <w:lang w:val="bg-BG"/>
            </w:rPr>
            <w:t>1.Миниум 50 % присъствия на семинарните занятия, както и изпълнение на задачите от задължителното текущо оценяване</w:t>
          </w:r>
          <w:r>
            <w:rPr>
              <w:rFonts w:cs="Times New Roman"/>
              <w:szCs w:val="24"/>
              <w:lang w:val="bg-BG"/>
            </w:rPr>
            <w:t>.</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FD" w:rsidRDefault="00A33DFD" w:rsidP="00F44CAE">
      <w:pPr>
        <w:spacing w:after="0" w:line="240" w:lineRule="auto"/>
      </w:pPr>
      <w:r>
        <w:separator/>
      </w:r>
    </w:p>
  </w:endnote>
  <w:endnote w:type="continuationSeparator" w:id="0">
    <w:p w:rsidR="00A33DFD" w:rsidRDefault="00A33DFD"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266588">
      <w:rPr>
        <w:noProof/>
      </w:rPr>
      <w:t>3</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FD" w:rsidRDefault="00A33DFD" w:rsidP="00F44CAE">
      <w:pPr>
        <w:spacing w:after="0" w:line="240" w:lineRule="auto"/>
      </w:pPr>
      <w:r>
        <w:separator/>
      </w:r>
    </w:p>
  </w:footnote>
  <w:footnote w:type="continuationSeparator" w:id="0">
    <w:p w:rsidR="00A33DFD" w:rsidRDefault="00A33DFD"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CAA"/>
    <w:multiLevelType w:val="hybridMultilevel"/>
    <w:tmpl w:val="1EC4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66588"/>
    <w:rsid w:val="002840A7"/>
    <w:rsid w:val="00286024"/>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286B"/>
    <w:rsid w:val="003B43BD"/>
    <w:rsid w:val="003C5DFF"/>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D587F"/>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BC1"/>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33DFD"/>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25027"/>
    <w:rsid w:val="00C548DB"/>
    <w:rsid w:val="00C55811"/>
    <w:rsid w:val="00C57590"/>
    <w:rsid w:val="00C630E4"/>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61D9D"/>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5E0AE2"/>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10332"/>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0103-0C12-4886-9B8E-50CEFC75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866</Words>
  <Characters>4938</Characters>
  <Application>Microsoft Office Word</Application>
  <DocSecurity>0</DocSecurity>
  <Lines>41</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Ани Х. Павлова</cp:lastModifiedBy>
  <cp:revision>2</cp:revision>
  <dcterms:created xsi:type="dcterms:W3CDTF">2019-09-11T08:24:00Z</dcterms:created>
  <dcterms:modified xsi:type="dcterms:W3CDTF">2019-09-11T08:24:00Z</dcterms:modified>
</cp:coreProperties>
</file>