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5F2D7F" w:rsidP="00AE1971">
          <w:pPr>
            <w:tabs>
              <w:tab w:val="left" w:pos="5370"/>
            </w:tabs>
            <w:jc w:val="center"/>
            <w:rPr>
              <w:rFonts w:cs="Times New Roman"/>
              <w:szCs w:val="24"/>
              <w:lang w:val="bg-BG"/>
            </w:rPr>
          </w:pPr>
          <w:r>
            <w:rPr>
              <w:rStyle w:val="BookTitle"/>
              <w:sz w:val="36"/>
              <w:szCs w:val="36"/>
              <w:lang w:val="bg-BG"/>
            </w:rPr>
            <w:t>Полицейско разузнаване</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5F2D7F"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F2D7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5F2D7F"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5F2D7F" w:rsidP="00007DB0">
                <w:pPr>
                  <w:rPr>
                    <w:rFonts w:cs="Times New Roman"/>
                    <w:szCs w:val="24"/>
                    <w:lang w:val="bg-BG"/>
                  </w:rPr>
                </w:pPr>
                <w:r>
                  <w:rPr>
                    <w:rFonts w:cs="Times New Roman"/>
                    <w:szCs w:val="24"/>
                    <w:lang w:val="bg-BG"/>
                  </w:rPr>
                  <w:t>Избираема</w:t>
                </w:r>
              </w:p>
            </w:tc>
          </w:sdtContent>
        </w:sdt>
      </w:tr>
      <w:tr w:rsidR="00FB1B8F" w:rsidRPr="005F2D7F"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5F2D7F" w:rsidP="005F2D7F">
                <w:pPr>
                  <w:rPr>
                    <w:rFonts w:cs="Times New Roman"/>
                    <w:szCs w:val="24"/>
                    <w:lang w:val="bg-BG"/>
                  </w:rPr>
                </w:pPr>
                <w:r>
                  <w:rPr>
                    <w:rFonts w:cs="Times New Roman"/>
                    <w:szCs w:val="24"/>
                    <w:lang w:val="bg-BG"/>
                  </w:rPr>
                  <w:t>Проф. д.ю.н. Йонко Кунчев</w:t>
                </w:r>
              </w:p>
            </w:tc>
          </w:sdtContent>
        </w:sdt>
      </w:tr>
      <w:tr w:rsidR="00007DB0" w:rsidRPr="005F2D7F"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5F2D7F" w:rsidP="00043C61">
                <w:pPr>
                  <w:rPr>
                    <w:rFonts w:cs="Times New Roman"/>
                    <w:szCs w:val="24"/>
                    <w:lang w:val="bg-BG"/>
                  </w:rPr>
                </w:pPr>
                <w:r>
                  <w:rPr>
                    <w:rFonts w:cs="Times New Roman"/>
                    <w:szCs w:val="24"/>
                    <w:lang w:val="bg-BG"/>
                  </w:rPr>
                  <w:t>Един семестър</w:t>
                </w:r>
              </w:p>
            </w:tc>
          </w:sdtContent>
        </w:sdt>
      </w:tr>
      <w:tr w:rsidR="00007DB0" w:rsidRPr="005F2D7F"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5F2D7F" w:rsidP="00043C61">
                <w:pPr>
                  <w:rPr>
                    <w:rFonts w:cs="Times New Roman"/>
                    <w:szCs w:val="24"/>
                    <w:lang w:val="bg-BG"/>
                  </w:rPr>
                </w:pPr>
                <w:r>
                  <w:rPr>
                    <w:rFonts w:cs="Times New Roman"/>
                    <w:szCs w:val="24"/>
                    <w:lang w:val="bg-BG"/>
                  </w:rPr>
                  <w:t>Лекции</w:t>
                </w:r>
              </w:p>
            </w:tc>
          </w:sdtContent>
        </w:sdt>
      </w:tr>
      <w:tr w:rsidR="00007DB0" w:rsidRPr="005F2D7F"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5F2D7F" w:rsidP="00043C61">
                <w:pPr>
                  <w:rPr>
                    <w:rFonts w:cs="Times New Roman"/>
                    <w:szCs w:val="24"/>
                    <w:lang w:val="bg-BG"/>
                  </w:rPr>
                </w:pPr>
                <w:r>
                  <w:rPr>
                    <w:rFonts w:cs="Times New Roman"/>
                    <w:szCs w:val="24"/>
                    <w:lang w:val="bg-BG"/>
                  </w:rPr>
                  <w:t>Не</w:t>
                </w:r>
              </w:p>
            </w:tc>
          </w:sdtContent>
        </w:sdt>
      </w:tr>
      <w:tr w:rsidR="00A0317A" w:rsidRPr="005F2D7F"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F2D7F" w:rsidP="00043C61">
                <w:pPr>
                  <w:rPr>
                    <w:rFonts w:cs="Times New Roman"/>
                    <w:szCs w:val="24"/>
                    <w:lang w:val="bg-BG"/>
                  </w:rPr>
                </w:pPr>
                <w:r>
                  <w:rPr>
                    <w:rFonts w:cs="Times New Roman"/>
                    <w:szCs w:val="24"/>
                    <w:lang w:val="bg-BG"/>
                  </w:rPr>
                  <w:t>Не</w:t>
                </w:r>
              </w:p>
            </w:tc>
          </w:sdtContent>
        </w:sdt>
      </w:tr>
      <w:tr w:rsidR="000D1387" w:rsidRPr="005F2D7F"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szCs w:val="24"/>
              <w:lang w:val="bg-BG"/>
            </w:rPr>
            <w:id w:val="1395937263"/>
            <w:placeholder>
              <w:docPart w:val="3D8B1F8D502D4D3499FA641889E2AE0E"/>
            </w:placeholder>
            <w:text/>
          </w:sdtPr>
          <w:sdtEndPr/>
          <w:sdtContent>
            <w:tc>
              <w:tcPr>
                <w:tcW w:w="3686" w:type="dxa"/>
                <w:vAlign w:val="center"/>
              </w:tcPr>
              <w:p w:rsidR="000D1387" w:rsidRPr="00464F8A" w:rsidRDefault="009449CF" w:rsidP="005F2D7F">
                <w:pPr>
                  <w:rPr>
                    <w:rFonts w:cs="Times New Roman"/>
                    <w:szCs w:val="24"/>
                    <w:lang w:val="bg-BG" w:eastAsia="zh-TW"/>
                  </w:rPr>
                </w:pPr>
                <w:r w:rsidRPr="009449CF">
                  <w:rPr>
                    <w:szCs w:val="24"/>
                    <w:lang w:val="bg-BG"/>
                  </w:rPr>
                  <w:t>30 ч. редовно обучение                42 ч. задочно обучение</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5F2D7F" w:rsidRPr="005F2D7F" w:rsidRDefault="005F2D7F" w:rsidP="005F2D7F">
          <w:pPr>
            <w:pStyle w:val="ListParagraph"/>
            <w:numPr>
              <w:ilvl w:val="0"/>
              <w:numId w:val="3"/>
            </w:numPr>
            <w:jc w:val="both"/>
            <w:rPr>
              <w:rFonts w:cs="Times New Roman"/>
              <w:sz w:val="28"/>
              <w:szCs w:val="28"/>
              <w:lang w:val="ru-RU"/>
            </w:rPr>
          </w:pPr>
          <w:r w:rsidRPr="005F2D7F">
            <w:rPr>
              <w:rFonts w:cs="Times New Roman"/>
              <w:sz w:val="28"/>
              <w:szCs w:val="28"/>
              <w:lang w:val="ru-RU"/>
            </w:rPr>
            <w:t>Предмет на теорията за полицейското разузнаване. Наказателноправна природа и връзка с другите наказателноправни науки</w:t>
          </w:r>
        </w:p>
        <w:p w:rsidR="005F2D7F" w:rsidRPr="00041885" w:rsidRDefault="005F2D7F" w:rsidP="005F2D7F">
          <w:pPr>
            <w:pStyle w:val="ListParagraph"/>
            <w:numPr>
              <w:ilvl w:val="0"/>
              <w:numId w:val="3"/>
            </w:numPr>
            <w:rPr>
              <w:rFonts w:cs="Times New Roman"/>
              <w:sz w:val="28"/>
              <w:szCs w:val="28"/>
            </w:rPr>
          </w:pPr>
          <w:r w:rsidRPr="00041885">
            <w:rPr>
              <w:rFonts w:cs="Times New Roman"/>
              <w:sz w:val="28"/>
              <w:szCs w:val="28"/>
            </w:rPr>
            <w:t xml:space="preserve">Правни основи на полицейското разузнаване </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Връзка и различие между полицейското разузнаване и наказателния процес</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Сходство и различие между полицейско разузнаване и разследване</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Оперативна разработка – същност. Видове оперативни разработки</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Реализация на оперативна разработка и започване на разследването</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Взаимодействие между оперативноиздирвателните  и разследващите органи</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Доброволни сътрудници, съгласно чл.  13 от ЗМВР</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Работа с доброволните сътрудници по чл. 13 от ЗМВР</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Разузнавателна беседа. Сходство и различие с разпита като действие по разследването</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Оперативно разпознаване и оперативен експеримент. Сходство и различие със съответните способи на доказване</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Документирането в полицейското разузнаване. Сходство и различие с наказателно процесуалното доказване</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lastRenderedPageBreak/>
            <w:t>Система на разузнавателните методи за разкриване и предотвратяване на престъпления</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Подслушването, проследяването и проникването като специални разузнавателни методи</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Белязването, проверката на кореспонденция и доверителната сделка като специални разузнавателни методи</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Разследване чрез служител под прикритие като специално разузнавателно средство</w:t>
          </w:r>
        </w:p>
        <w:p w:rsidR="005F2D7F" w:rsidRPr="00041885" w:rsidRDefault="005F2D7F" w:rsidP="005F2D7F">
          <w:pPr>
            <w:pStyle w:val="ListParagraph"/>
            <w:numPr>
              <w:ilvl w:val="0"/>
              <w:numId w:val="3"/>
            </w:numPr>
            <w:rPr>
              <w:rFonts w:cs="Times New Roman"/>
              <w:sz w:val="28"/>
              <w:szCs w:val="28"/>
            </w:rPr>
          </w:pPr>
          <w:r w:rsidRPr="00041885">
            <w:rPr>
              <w:rFonts w:cs="Times New Roman"/>
              <w:sz w:val="28"/>
              <w:szCs w:val="28"/>
            </w:rPr>
            <w:t>Техническо разузнаване</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Ред за използване на специалните разузнавателни средства, съгласно Закона за СРС</w:t>
          </w:r>
        </w:p>
        <w:p w:rsidR="005F2D7F" w:rsidRPr="00041885" w:rsidRDefault="005F2D7F" w:rsidP="005F2D7F">
          <w:pPr>
            <w:pStyle w:val="ListParagraph"/>
            <w:numPr>
              <w:ilvl w:val="0"/>
              <w:numId w:val="3"/>
            </w:numPr>
            <w:rPr>
              <w:rFonts w:cs="Times New Roman"/>
              <w:sz w:val="28"/>
              <w:szCs w:val="28"/>
            </w:rPr>
          </w:pPr>
          <w:r w:rsidRPr="00041885">
            <w:rPr>
              <w:rFonts w:cs="Times New Roman"/>
              <w:sz w:val="28"/>
              <w:szCs w:val="28"/>
            </w:rPr>
            <w:t xml:space="preserve">Използване на резултатите от СРС </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Контрол и наблюдение на специалните разузнавателни средства</w:t>
          </w:r>
        </w:p>
        <w:p w:rsidR="005F2D7F" w:rsidRPr="005F2D7F" w:rsidRDefault="005F2D7F" w:rsidP="005F2D7F">
          <w:pPr>
            <w:pStyle w:val="ListParagraph"/>
            <w:numPr>
              <w:ilvl w:val="0"/>
              <w:numId w:val="3"/>
            </w:numPr>
            <w:rPr>
              <w:rFonts w:cs="Times New Roman"/>
              <w:sz w:val="28"/>
              <w:szCs w:val="28"/>
              <w:lang w:val="ru-RU"/>
            </w:rPr>
          </w:pPr>
          <w:r w:rsidRPr="005F2D7F">
            <w:rPr>
              <w:rFonts w:cs="Times New Roman"/>
              <w:sz w:val="28"/>
              <w:szCs w:val="28"/>
              <w:lang w:val="ru-RU"/>
            </w:rPr>
            <w:t>Прилагане на специални разузнавателни средства при международно сътрудничество по наказателноправни въпроси</w:t>
          </w:r>
        </w:p>
        <w:p w:rsidR="00DA6080" w:rsidRPr="005F2D7F" w:rsidRDefault="00A36243" w:rsidP="005F2D7F">
          <w:pPr>
            <w:pStyle w:val="ListParagraph"/>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AD2596" w:rsidRPr="00041885" w:rsidRDefault="00AD2596" w:rsidP="00AD2596">
          <w:pPr>
            <w:pStyle w:val="ListParagraph"/>
            <w:numPr>
              <w:ilvl w:val="0"/>
              <w:numId w:val="4"/>
            </w:numPr>
            <w:rPr>
              <w:rFonts w:cs="Times New Roman"/>
              <w:sz w:val="28"/>
              <w:szCs w:val="28"/>
            </w:rPr>
          </w:pPr>
          <w:r w:rsidRPr="00041885">
            <w:rPr>
              <w:rFonts w:cs="Times New Roman"/>
              <w:b/>
              <w:sz w:val="28"/>
              <w:szCs w:val="28"/>
            </w:rPr>
            <w:t xml:space="preserve">Закони </w:t>
          </w:r>
        </w:p>
        <w:p w:rsidR="00AD2596" w:rsidRPr="00041885" w:rsidRDefault="00AD2596" w:rsidP="00AD2596">
          <w:pPr>
            <w:pStyle w:val="ListParagraph"/>
            <w:ind w:left="1080"/>
            <w:rPr>
              <w:rFonts w:cs="Times New Roman"/>
              <w:sz w:val="28"/>
              <w:szCs w:val="28"/>
            </w:rPr>
          </w:pPr>
          <w:r w:rsidRPr="00041885">
            <w:rPr>
              <w:rFonts w:cs="Times New Roman"/>
              <w:sz w:val="28"/>
              <w:szCs w:val="28"/>
            </w:rPr>
            <w:t>Закон за МВР</w:t>
          </w:r>
        </w:p>
        <w:p w:rsidR="00AD2596" w:rsidRPr="00041885" w:rsidRDefault="00AD2596" w:rsidP="00AD2596">
          <w:pPr>
            <w:pStyle w:val="ListParagraph"/>
            <w:ind w:left="1080"/>
            <w:rPr>
              <w:rFonts w:cs="Times New Roman"/>
              <w:sz w:val="28"/>
              <w:szCs w:val="28"/>
            </w:rPr>
          </w:pPr>
          <w:r w:rsidRPr="00041885">
            <w:rPr>
              <w:rFonts w:cs="Times New Roman"/>
              <w:sz w:val="28"/>
              <w:szCs w:val="28"/>
            </w:rPr>
            <w:t>Закон за специалните разузнавателни средства</w:t>
          </w:r>
        </w:p>
        <w:p w:rsidR="00AD2596" w:rsidRPr="00041885" w:rsidRDefault="00AD2596" w:rsidP="00AD2596">
          <w:pPr>
            <w:pStyle w:val="ListParagraph"/>
            <w:ind w:left="1080"/>
            <w:rPr>
              <w:rFonts w:cs="Times New Roman"/>
              <w:sz w:val="28"/>
              <w:szCs w:val="28"/>
              <w:lang w:val="ru-RU"/>
            </w:rPr>
          </w:pPr>
          <w:r w:rsidRPr="00041885">
            <w:rPr>
              <w:rFonts w:cs="Times New Roman"/>
              <w:sz w:val="28"/>
              <w:szCs w:val="28"/>
            </w:rPr>
            <w:t>Наказателно-процесуален кодекс</w:t>
          </w:r>
        </w:p>
        <w:p w:rsidR="00AD2596" w:rsidRPr="00041885" w:rsidRDefault="00AD2596" w:rsidP="00AD2596">
          <w:pPr>
            <w:spacing w:after="0"/>
            <w:ind w:firstLine="708"/>
            <w:rPr>
              <w:rFonts w:cs="Times New Roman"/>
              <w:b/>
              <w:sz w:val="28"/>
              <w:szCs w:val="28"/>
            </w:rPr>
          </w:pPr>
          <w:r w:rsidRPr="00041885">
            <w:rPr>
              <w:rFonts w:cs="Times New Roman"/>
              <w:b/>
              <w:sz w:val="28"/>
              <w:szCs w:val="28"/>
            </w:rPr>
            <w:t xml:space="preserve">       II</w:t>
          </w:r>
          <w:r w:rsidRPr="00041885">
            <w:rPr>
              <w:rFonts w:cs="Times New Roman"/>
              <w:b/>
              <w:sz w:val="28"/>
              <w:szCs w:val="28"/>
              <w:lang w:val="ru-RU"/>
            </w:rPr>
            <w:t>.</w:t>
          </w:r>
          <w:r w:rsidRPr="00041885">
            <w:rPr>
              <w:rFonts w:cs="Times New Roman"/>
              <w:b/>
              <w:sz w:val="28"/>
              <w:szCs w:val="28"/>
            </w:rPr>
            <w:t>Основна литература</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Асенов, Б.</w:t>
          </w:r>
          <w:r w:rsidRPr="00AD2596">
            <w:rPr>
              <w:rFonts w:cs="Times New Roman"/>
              <w:sz w:val="28"/>
              <w:szCs w:val="28"/>
              <w:lang w:val="ru-RU"/>
            </w:rPr>
            <w:t xml:space="preserve"> Основи на оперативноиздирвателната дейност. ВСУ „Черноризец Храбър”, 2009</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Асенов, Б.</w:t>
          </w:r>
          <w:r w:rsidRPr="00AD2596">
            <w:rPr>
              <w:rFonts w:cs="Times New Roman"/>
              <w:sz w:val="28"/>
              <w:szCs w:val="28"/>
              <w:lang w:val="ru-RU"/>
            </w:rPr>
            <w:t xml:space="preserve"> Теория на разузнаването. Албатрос, 2005</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Бойчев, П.</w:t>
          </w:r>
          <w:r w:rsidRPr="00AD2596">
            <w:rPr>
              <w:rFonts w:cs="Times New Roman"/>
              <w:sz w:val="28"/>
              <w:szCs w:val="28"/>
              <w:lang w:val="ru-RU"/>
            </w:rPr>
            <w:t xml:space="preserve"> Техническо разузнаване. Албатрос, 2007</w:t>
          </w:r>
        </w:p>
        <w:p w:rsidR="00AD2596" w:rsidRPr="00041885" w:rsidRDefault="00AD2596" w:rsidP="00AD2596">
          <w:pPr>
            <w:pStyle w:val="ListParagraph"/>
            <w:ind w:left="1080"/>
            <w:rPr>
              <w:rFonts w:cs="Times New Roman"/>
              <w:sz w:val="28"/>
              <w:szCs w:val="28"/>
              <w:lang w:val="ru-RU"/>
            </w:rPr>
          </w:pPr>
          <w:r w:rsidRPr="00041885">
            <w:rPr>
              <w:rFonts w:cs="Times New Roman"/>
              <w:i/>
              <w:sz w:val="28"/>
              <w:szCs w:val="28"/>
              <w:lang w:val="ru-RU"/>
            </w:rPr>
            <w:t>Каймеджиев, Хр.</w:t>
          </w:r>
          <w:r w:rsidRPr="00041885">
            <w:rPr>
              <w:rFonts w:cs="Times New Roman"/>
              <w:sz w:val="28"/>
              <w:szCs w:val="28"/>
              <w:lang w:val="ru-RU"/>
            </w:rPr>
            <w:t xml:space="preserve"> Оперативноиздирвателно производство. Альбатрос, 2005</w:t>
          </w:r>
        </w:p>
        <w:p w:rsidR="00AD2596" w:rsidRPr="00041885" w:rsidRDefault="00AD2596" w:rsidP="00AD2596">
          <w:pPr>
            <w:pStyle w:val="ListParagraph"/>
            <w:ind w:left="1080"/>
            <w:rPr>
              <w:rFonts w:cs="Times New Roman"/>
              <w:sz w:val="28"/>
              <w:szCs w:val="28"/>
            </w:rPr>
          </w:pPr>
          <w:r w:rsidRPr="00AD2596">
            <w:rPr>
              <w:rFonts w:cs="Times New Roman"/>
              <w:i/>
              <w:sz w:val="28"/>
              <w:szCs w:val="28"/>
              <w:lang w:val="ru-RU"/>
            </w:rPr>
            <w:t xml:space="preserve">Каймеджиев, Хр. </w:t>
          </w:r>
          <w:r w:rsidRPr="00AD2596">
            <w:rPr>
              <w:rFonts w:cs="Times New Roman"/>
              <w:sz w:val="28"/>
              <w:szCs w:val="28"/>
              <w:lang w:val="ru-RU"/>
            </w:rPr>
            <w:t xml:space="preserve">История и теория на оперативноиздирвателната дейност. </w:t>
          </w:r>
          <w:r w:rsidRPr="00041885">
            <w:rPr>
              <w:rFonts w:cs="Times New Roman"/>
              <w:sz w:val="28"/>
              <w:szCs w:val="28"/>
            </w:rPr>
            <w:t>ВСУ „Черноризец Храбър”, 2006</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 xml:space="preserve">Рашков, Б. </w:t>
          </w:r>
          <w:r w:rsidRPr="00AD2596">
            <w:rPr>
              <w:rFonts w:cs="Times New Roman"/>
              <w:sz w:val="28"/>
              <w:szCs w:val="28"/>
              <w:lang w:val="ru-RU"/>
            </w:rPr>
            <w:t>Специални разузнавателни средства. С., 2010</w:t>
          </w:r>
        </w:p>
        <w:p w:rsidR="00AD2596" w:rsidRPr="00AD2596" w:rsidRDefault="00AD2596" w:rsidP="00AD2596">
          <w:pPr>
            <w:pStyle w:val="ListParagraph"/>
            <w:ind w:left="1080"/>
            <w:rPr>
              <w:rFonts w:cs="Times New Roman"/>
              <w:b/>
              <w:sz w:val="28"/>
              <w:szCs w:val="28"/>
              <w:lang w:val="ru-RU"/>
            </w:rPr>
          </w:pPr>
          <w:r w:rsidRPr="00041885">
            <w:rPr>
              <w:rFonts w:cs="Times New Roman"/>
              <w:b/>
              <w:sz w:val="28"/>
              <w:szCs w:val="28"/>
            </w:rPr>
            <w:t>III</w:t>
          </w:r>
          <w:r w:rsidRPr="00041885">
            <w:rPr>
              <w:rFonts w:cs="Times New Roman"/>
              <w:b/>
              <w:sz w:val="28"/>
              <w:szCs w:val="28"/>
              <w:lang w:val="ru-RU"/>
            </w:rPr>
            <w:t>.Допълнителна литература</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lastRenderedPageBreak/>
            <w:t>Захарцев, С. И. , Ю. Ю. Игнащенко, В. П. Сальников</w:t>
          </w:r>
          <w:r w:rsidRPr="00AD2596">
            <w:rPr>
              <w:rFonts w:cs="Times New Roman"/>
              <w:sz w:val="28"/>
              <w:szCs w:val="28"/>
              <w:lang w:val="ru-RU"/>
            </w:rPr>
            <w:t xml:space="preserve">. Оперативно-розыскная деятельность в </w:t>
          </w:r>
          <w:r w:rsidRPr="00041885">
            <w:rPr>
              <w:rFonts w:cs="Times New Roman"/>
              <w:sz w:val="28"/>
              <w:szCs w:val="28"/>
            </w:rPr>
            <w:t>XXI</w:t>
          </w:r>
          <w:r w:rsidRPr="00AD2596">
            <w:rPr>
              <w:rFonts w:cs="Times New Roman"/>
              <w:sz w:val="28"/>
              <w:szCs w:val="28"/>
              <w:lang w:val="ru-RU"/>
            </w:rPr>
            <w:t xml:space="preserve"> веке. М., 2015</w:t>
          </w:r>
        </w:p>
        <w:p w:rsidR="00AD2596" w:rsidRPr="00AD2596" w:rsidRDefault="00AD2596" w:rsidP="00AD2596">
          <w:pPr>
            <w:pStyle w:val="ListParagraph"/>
            <w:ind w:left="1080"/>
            <w:rPr>
              <w:rFonts w:cs="Times New Roman"/>
              <w:i/>
              <w:sz w:val="28"/>
              <w:szCs w:val="28"/>
              <w:lang w:val="ru-RU"/>
            </w:rPr>
          </w:pPr>
          <w:r w:rsidRPr="00AD2596">
            <w:rPr>
              <w:rFonts w:cs="Times New Roman"/>
              <w:i/>
              <w:sz w:val="28"/>
              <w:szCs w:val="28"/>
              <w:lang w:val="ru-RU"/>
            </w:rPr>
            <w:t xml:space="preserve">Кунчев, Й. </w:t>
          </w:r>
          <w:r w:rsidRPr="00AD2596">
            <w:rPr>
              <w:rFonts w:cs="Times New Roman"/>
              <w:sz w:val="28"/>
              <w:szCs w:val="28"/>
              <w:lang w:val="ru-RU"/>
            </w:rPr>
            <w:t>Криминалистическа тактика. С., 2004</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Кунчев, Й.</w:t>
          </w:r>
          <w:r w:rsidRPr="00AD2596">
            <w:rPr>
              <w:rFonts w:cs="Times New Roman"/>
              <w:sz w:val="28"/>
              <w:szCs w:val="28"/>
              <w:lang w:val="ru-RU"/>
            </w:rPr>
            <w:t xml:space="preserve"> Ръководство за разследване. С., 2008</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Начев, Й.</w:t>
          </w:r>
          <w:r w:rsidRPr="00AD2596">
            <w:rPr>
              <w:rFonts w:cs="Times New Roman"/>
              <w:sz w:val="28"/>
              <w:szCs w:val="28"/>
              <w:lang w:val="ru-RU"/>
            </w:rPr>
            <w:t xml:space="preserve"> Вербовка и агентура. Издателска къща „Труд”, 2000</w:t>
          </w:r>
        </w:p>
        <w:p w:rsidR="00AD2596" w:rsidRPr="00AD2596" w:rsidRDefault="00AD2596" w:rsidP="00AD2596">
          <w:pPr>
            <w:pStyle w:val="ListParagraph"/>
            <w:ind w:left="1080"/>
            <w:rPr>
              <w:rFonts w:cs="Times New Roman"/>
              <w:sz w:val="28"/>
              <w:szCs w:val="28"/>
              <w:lang w:val="ru-RU"/>
            </w:rPr>
          </w:pPr>
          <w:r w:rsidRPr="00AD2596">
            <w:rPr>
              <w:rFonts w:cs="Times New Roman"/>
              <w:sz w:val="28"/>
              <w:szCs w:val="28"/>
              <w:lang w:val="ru-RU"/>
            </w:rPr>
            <w:t>Основы оперативно-розыскной деятельности. Учебник для юридических вузов. (под ред. на В. Б.Рушайло), М., 2002</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 xml:space="preserve">Тарас, А. </w:t>
          </w:r>
          <w:r w:rsidRPr="00AD2596">
            <w:rPr>
              <w:rFonts w:cs="Times New Roman"/>
              <w:sz w:val="28"/>
              <w:szCs w:val="28"/>
              <w:lang w:val="ru-RU"/>
            </w:rPr>
            <w:t>Наръчник по разузнаване и сигурност. Издателска къща „Труд”, 1999</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Уилсън, Дж. Х.</w:t>
          </w:r>
          <w:r w:rsidRPr="00AD2596">
            <w:rPr>
              <w:rFonts w:cs="Times New Roman"/>
              <w:sz w:val="28"/>
              <w:szCs w:val="28"/>
              <w:lang w:val="ru-RU"/>
            </w:rPr>
            <w:t xml:space="preserve"> За разузнаването. История на шпионажа и тайния свят. Издателска къща „Труд”, 2017</w:t>
          </w:r>
        </w:p>
        <w:p w:rsidR="00AD2596" w:rsidRPr="00AD2596" w:rsidRDefault="00AD2596" w:rsidP="00AD2596">
          <w:pPr>
            <w:pStyle w:val="ListParagraph"/>
            <w:ind w:left="1080"/>
            <w:rPr>
              <w:rFonts w:cs="Times New Roman"/>
              <w:sz w:val="28"/>
              <w:szCs w:val="28"/>
              <w:lang w:val="ru-RU"/>
            </w:rPr>
          </w:pPr>
          <w:r w:rsidRPr="00AD2596">
            <w:rPr>
              <w:rFonts w:cs="Times New Roman"/>
              <w:i/>
              <w:sz w:val="28"/>
              <w:szCs w:val="28"/>
              <w:lang w:val="ru-RU"/>
            </w:rPr>
            <w:t>Френсис Д.</w:t>
          </w:r>
          <w:r w:rsidRPr="00AD2596">
            <w:rPr>
              <w:rFonts w:cs="Times New Roman"/>
              <w:sz w:val="28"/>
              <w:szCs w:val="28"/>
              <w:lang w:val="ru-RU"/>
            </w:rPr>
            <w:t xml:space="preserve"> Произход на разузнавателните служби. Издателство Лик. 1997</w:t>
          </w:r>
        </w:p>
        <w:p w:rsidR="00071625" w:rsidRDefault="00AD2596" w:rsidP="00AD2596">
          <w:pPr>
            <w:pStyle w:val="ListParagraph"/>
            <w:jc w:val="both"/>
            <w:rPr>
              <w:rFonts w:cs="Times New Roman"/>
              <w:szCs w:val="24"/>
              <w:lang w:val="bg-BG"/>
            </w:rPr>
          </w:pPr>
          <w:r w:rsidRPr="00AD2596">
            <w:rPr>
              <w:rFonts w:cs="Times New Roman"/>
              <w:sz w:val="28"/>
              <w:szCs w:val="28"/>
              <w:lang w:val="ru-RU"/>
            </w:rPr>
            <w:t xml:space="preserve">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700144"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showingPlcHd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8766E" w:rsidP="00211F99">
          <w:pPr>
            <w:jc w:val="both"/>
            <w:rPr>
              <w:rFonts w:cs="Times New Roman"/>
              <w:szCs w:val="24"/>
              <w:lang w:val="bg-BG"/>
            </w:rPr>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sdtContent>
    </w:sdt>
    <w:sdt>
      <w:sdtPr>
        <w:rPr>
          <w:rFonts w:cs="Times New Roman"/>
          <w:szCs w:val="24"/>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00144" w:rsidP="007819E1">
          <w:pPr>
            <w:jc w:val="both"/>
            <w:rPr>
              <w:rFonts w:cs="Times New Roman"/>
              <w:szCs w:val="24"/>
              <w:lang w:val="bg-BG"/>
            </w:rPr>
          </w:pPr>
          <w:r w:rsidRPr="00700144">
            <w:rPr>
              <w:rFonts w:cs="Times New Roman"/>
              <w:szCs w:val="24"/>
              <w:lang w:val="bg-BG"/>
            </w:rPr>
            <w:t>Не се предвиждат условия за допускане до изпит</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AD2596" w:rsidP="00FF4CA3">
          <w:pPr>
            <w:jc w:val="both"/>
            <w:rPr>
              <w:rFonts w:cs="Times New Roman"/>
              <w:szCs w:val="24"/>
              <w:lang w:val="bg-BG"/>
            </w:rPr>
          </w:pPr>
          <w:r>
            <w:rPr>
              <w:rFonts w:cs="Times New Roman"/>
              <w:szCs w:val="24"/>
              <w:lang w:val="bg-BG"/>
            </w:rPr>
            <w:t>Изпитът се провежда под формата на тест в който се включват 6 въпроса по различни теми от конспекта, но без посочване на възможни отговори, т.е. чрез т.нар. „отворени въпроси”.</w:t>
          </w:r>
          <w:r w:rsidR="00B0165B">
            <w:rPr>
              <w:rFonts w:cs="Times New Roman"/>
              <w:szCs w:val="24"/>
              <w:lang w:val="bg-BG"/>
            </w:rPr>
            <w:t xml:space="preserve"> Друг вариант за изпит е разработване на курсова работа в обем около 7-8 страници.</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B0165B" w:rsidP="00FF4CA3">
          <w:pPr>
            <w:jc w:val="both"/>
            <w:rPr>
              <w:rFonts w:cs="Times New Roman"/>
              <w:szCs w:val="24"/>
              <w:lang w:val="bg-BG"/>
            </w:rPr>
          </w:pPr>
          <w:r>
            <w:rPr>
              <w:rFonts w:cs="Times New Roman"/>
              <w:szCs w:val="24"/>
              <w:lang w:val="bg-BG"/>
            </w:rPr>
            <w:t>Когато изпита се провежда чрез тест, о</w:t>
          </w:r>
          <w:r w:rsidR="00AD2596">
            <w:rPr>
              <w:rFonts w:cs="Times New Roman"/>
              <w:szCs w:val="24"/>
              <w:lang w:val="bg-BG"/>
            </w:rPr>
            <w:t>ценката се определя според броя на верните и пълни отговори. При 6 верни и пълни отговора оценката е „Отличен”; при 5 – много добър и т.н.</w:t>
          </w:r>
          <w:r>
            <w:rPr>
              <w:rFonts w:cs="Times New Roman"/>
              <w:szCs w:val="24"/>
              <w:lang w:val="bg-BG"/>
            </w:rPr>
            <w:t xml:space="preserve"> Ако изпита е чрез курсова работа, тя се оценява в няколко аспекта: а) съответствие  между темата и съдържанието на курсовата работа; б) правилността на съдържанието; в) </w:t>
          </w:r>
          <w:r>
            <w:rPr>
              <w:rFonts w:cs="Times New Roman"/>
              <w:szCs w:val="24"/>
              <w:lang w:val="bg-BG"/>
            </w:rPr>
            <w:lastRenderedPageBreak/>
            <w:t>коректното използване на източниците; г) творческия подход и изразена собствена позиция относно въпросите, които са предмет на курсовата работа.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700144"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43" w:rsidRDefault="00A36243" w:rsidP="00F44CAE">
      <w:pPr>
        <w:spacing w:after="0" w:line="240" w:lineRule="auto"/>
      </w:pPr>
      <w:r>
        <w:separator/>
      </w:r>
    </w:p>
  </w:endnote>
  <w:endnote w:type="continuationSeparator" w:id="0">
    <w:p w:rsidR="00A36243" w:rsidRDefault="00A3624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A254BF">
    <w:pPr>
      <w:pStyle w:val="Footer"/>
      <w:jc w:val="right"/>
    </w:pPr>
    <w:r>
      <w:fldChar w:fldCharType="begin"/>
    </w:r>
    <w:r w:rsidR="00DC03AF">
      <w:instrText xml:space="preserve"> PAGE   \* MERGEFORMAT </w:instrText>
    </w:r>
    <w:r>
      <w:fldChar w:fldCharType="separate"/>
    </w:r>
    <w:r w:rsidR="00252501">
      <w:rPr>
        <w:noProof/>
      </w:rPr>
      <w:t>2</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43" w:rsidRDefault="00A36243" w:rsidP="00F44CAE">
      <w:pPr>
        <w:spacing w:after="0" w:line="240" w:lineRule="auto"/>
      </w:pPr>
      <w:r>
        <w:separator/>
      </w:r>
    </w:p>
  </w:footnote>
  <w:footnote w:type="continuationSeparator" w:id="0">
    <w:p w:rsidR="00A36243" w:rsidRDefault="00A36243"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403"/>
    <w:multiLevelType w:val="hybridMultilevel"/>
    <w:tmpl w:val="5AD62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B71A9"/>
    <w:multiLevelType w:val="hybridMultilevel"/>
    <w:tmpl w:val="4BD24B3A"/>
    <w:lvl w:ilvl="0" w:tplc="4F3284D0">
      <w:start w:val="1"/>
      <w:numFmt w:val="upperRoman"/>
      <w:lvlText w:val="%1."/>
      <w:lvlJc w:val="left"/>
      <w:pPr>
        <w:ind w:left="1080" w:hanging="360"/>
      </w:pPr>
      <w:rPr>
        <w:rFonts w:ascii="Times New Roman" w:eastAsiaTheme="minorHAns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5C5901D3"/>
    <w:multiLevelType w:val="hybridMultilevel"/>
    <w:tmpl w:val="49DE1A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1E1200"/>
    <w:rsid w:val="00211F99"/>
    <w:rsid w:val="00214378"/>
    <w:rsid w:val="00252501"/>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5F2D7F"/>
    <w:rsid w:val="0061481C"/>
    <w:rsid w:val="00623BF7"/>
    <w:rsid w:val="006243CF"/>
    <w:rsid w:val="00642600"/>
    <w:rsid w:val="0066260D"/>
    <w:rsid w:val="00666EDD"/>
    <w:rsid w:val="006725FA"/>
    <w:rsid w:val="00676627"/>
    <w:rsid w:val="0068766E"/>
    <w:rsid w:val="006C5A07"/>
    <w:rsid w:val="006D3DE5"/>
    <w:rsid w:val="006F0822"/>
    <w:rsid w:val="00700144"/>
    <w:rsid w:val="007165F4"/>
    <w:rsid w:val="00731E53"/>
    <w:rsid w:val="007356CE"/>
    <w:rsid w:val="00737259"/>
    <w:rsid w:val="00771E0A"/>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66FD2"/>
    <w:rsid w:val="00873624"/>
    <w:rsid w:val="00895B34"/>
    <w:rsid w:val="0089661E"/>
    <w:rsid w:val="008B54CC"/>
    <w:rsid w:val="008D05AB"/>
    <w:rsid w:val="008E751F"/>
    <w:rsid w:val="008F0F81"/>
    <w:rsid w:val="0090153B"/>
    <w:rsid w:val="009243DB"/>
    <w:rsid w:val="00933241"/>
    <w:rsid w:val="00940CE1"/>
    <w:rsid w:val="009449CF"/>
    <w:rsid w:val="00947A8E"/>
    <w:rsid w:val="00986211"/>
    <w:rsid w:val="00991FCB"/>
    <w:rsid w:val="009A2BCF"/>
    <w:rsid w:val="009B7BE8"/>
    <w:rsid w:val="009D0362"/>
    <w:rsid w:val="00A0317A"/>
    <w:rsid w:val="00A067CA"/>
    <w:rsid w:val="00A1071D"/>
    <w:rsid w:val="00A12DB5"/>
    <w:rsid w:val="00A13408"/>
    <w:rsid w:val="00A254BF"/>
    <w:rsid w:val="00A36243"/>
    <w:rsid w:val="00A47FA0"/>
    <w:rsid w:val="00A537B3"/>
    <w:rsid w:val="00A60E64"/>
    <w:rsid w:val="00A63168"/>
    <w:rsid w:val="00A6764E"/>
    <w:rsid w:val="00AA5772"/>
    <w:rsid w:val="00AB3AE4"/>
    <w:rsid w:val="00AB479D"/>
    <w:rsid w:val="00AD2596"/>
    <w:rsid w:val="00AE1971"/>
    <w:rsid w:val="00AF630C"/>
    <w:rsid w:val="00B0165B"/>
    <w:rsid w:val="00B30F5F"/>
    <w:rsid w:val="00B5145B"/>
    <w:rsid w:val="00B55DDF"/>
    <w:rsid w:val="00B74543"/>
    <w:rsid w:val="00BB39F1"/>
    <w:rsid w:val="00BB4183"/>
    <w:rsid w:val="00BB46B0"/>
    <w:rsid w:val="00BB5D8B"/>
    <w:rsid w:val="00BC05DB"/>
    <w:rsid w:val="00BC65D0"/>
    <w:rsid w:val="00BE604E"/>
    <w:rsid w:val="00C0243D"/>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08731-C022-4D61-9802-CF3D36D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76D75"/>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D73AB"/>
    <w:rsid w:val="00AE0D7F"/>
    <w:rsid w:val="00B3644C"/>
    <w:rsid w:val="00B40FB1"/>
    <w:rsid w:val="00BA3784"/>
    <w:rsid w:val="00C35A82"/>
    <w:rsid w:val="00C71029"/>
    <w:rsid w:val="00CA6C0F"/>
    <w:rsid w:val="00D323B8"/>
    <w:rsid w:val="00D70D61"/>
    <w:rsid w:val="00D76E75"/>
    <w:rsid w:val="00DC5581"/>
    <w:rsid w:val="00E037C5"/>
    <w:rsid w:val="00E25F5E"/>
    <w:rsid w:val="00E671CD"/>
    <w:rsid w:val="00E91AA1"/>
    <w:rsid w:val="00E9386B"/>
    <w:rsid w:val="00EB56A5"/>
    <w:rsid w:val="00F66508"/>
    <w:rsid w:val="00FB4039"/>
    <w:rsid w:val="00FE75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848F-09F7-48ED-A224-94E47A7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4</Pages>
  <Words>955</Words>
  <Characters>5449</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MPPA3</cp:lastModifiedBy>
  <cp:revision>2</cp:revision>
  <dcterms:created xsi:type="dcterms:W3CDTF">2020-04-01T16:16:00Z</dcterms:created>
  <dcterms:modified xsi:type="dcterms:W3CDTF">2020-04-01T16:16:00Z</dcterms:modified>
</cp:coreProperties>
</file>