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6B5CE7" w:rsidP="00AE1971">
          <w:pPr>
            <w:tabs>
              <w:tab w:val="left" w:pos="5370"/>
            </w:tabs>
            <w:jc w:val="center"/>
            <w:rPr>
              <w:rFonts w:cs="Times New Roman"/>
              <w:szCs w:val="24"/>
              <w:lang w:val="bg-BG"/>
            </w:rPr>
          </w:pPr>
          <w:r>
            <w:rPr>
              <w:rStyle w:val="BookTitle"/>
              <w:sz w:val="36"/>
              <w:szCs w:val="36"/>
              <w:lang w:val="bg-BG"/>
            </w:rPr>
            <w:t>ПРАВНА РЕТОРИКА</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AA7465"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AA7465"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AA7465" w:rsidP="00AA7465">
                <w:pPr>
                  <w:rPr>
                    <w:rFonts w:cs="Times New Roman"/>
                    <w:szCs w:val="24"/>
                    <w:lang w:val="bg-BG"/>
                  </w:rPr>
                </w:pPr>
                <w:r>
                  <w:rPr>
                    <w:rFonts w:cs="Times New Roman"/>
                    <w:szCs w:val="24"/>
                    <w:lang w:val="bg-BG"/>
                  </w:rPr>
                  <w:t>Проф. д.ю.н. Малина Новкиришка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AA7465"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AA7465"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AA7465"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AA7465"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305A82" w:rsidP="00305A82">
                <w:pPr>
                  <w:rPr>
                    <w:rFonts w:cs="Times New Roman"/>
                    <w:szCs w:val="24"/>
                    <w:lang w:val="bg-BG" w:eastAsia="zh-TW"/>
                  </w:rPr>
                </w:pPr>
                <w:r>
                  <w:rPr>
                    <w:rFonts w:cs="Times New Roman"/>
                    <w:szCs w:val="24"/>
                    <w:lang w:val="bg-BG"/>
                  </w:rPr>
                  <w:t>30ч . редовно обучение                42 ч. задочно обучение</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6B5CE7" w:rsidRDefault="006B5CE7" w:rsidP="006B5CE7">
          <w:pPr>
            <w:tabs>
              <w:tab w:val="left" w:pos="6900"/>
            </w:tabs>
            <w:jc w:val="both"/>
          </w:pPr>
          <w:r>
            <w:t>1. Понятие за реторика. Етимология. Значение на реториката. Отграничения – диалог, дискусия, обсъждане. Теория на комуникацията и реторика. Реторика и правно образование.</w:t>
          </w:r>
        </w:p>
        <w:p w:rsidR="006B5CE7" w:rsidRDefault="006B5CE7" w:rsidP="006B5CE7">
          <w:pPr>
            <w:tabs>
              <w:tab w:val="left" w:pos="6900"/>
            </w:tabs>
            <w:jc w:val="both"/>
          </w:pPr>
          <w:r>
            <w:t>2. Теория на реториката. Видове реторика. Реторика и култура на речта. Култура и етика на общуването по правни въпроси.</w:t>
          </w:r>
        </w:p>
        <w:p w:rsidR="006B5CE7" w:rsidRDefault="006B5CE7" w:rsidP="006B5CE7">
          <w:pPr>
            <w:tabs>
              <w:tab w:val="left" w:pos="6900"/>
            </w:tabs>
            <w:jc w:val="both"/>
          </w:pPr>
          <w:r>
            <w:t>3. История и развитие на правната и съдебната реторика – Античност, Средновековие и Ренесанс.</w:t>
          </w:r>
        </w:p>
        <w:p w:rsidR="006B5CE7" w:rsidRDefault="006B5CE7" w:rsidP="006B5CE7">
          <w:pPr>
            <w:tabs>
              <w:tab w:val="left" w:pos="6900"/>
            </w:tabs>
            <w:jc w:val="both"/>
          </w:pPr>
          <w:r>
            <w:t>4. Съвременни аспекти на правната реторика- делова, правна и съдебна реторика.</w:t>
          </w:r>
        </w:p>
        <w:p w:rsidR="006B5CE7" w:rsidRDefault="006B5CE7" w:rsidP="006B5CE7">
          <w:pPr>
            <w:tabs>
              <w:tab w:val="left" w:pos="6900"/>
            </w:tabs>
            <w:jc w:val="both"/>
          </w:pPr>
          <w:r>
            <w:t>5.</w:t>
          </w:r>
          <w:r>
            <w:rPr>
              <w:lang w:val="bg-BG"/>
            </w:rPr>
            <w:t xml:space="preserve"> </w:t>
          </w:r>
          <w:r>
            <w:t>Съдебната реторика като изкуство. Видове речи. Логос, патос и етос.</w:t>
          </w:r>
        </w:p>
        <w:p w:rsidR="006B5CE7" w:rsidRDefault="006B5CE7" w:rsidP="006B5CE7">
          <w:pPr>
            <w:tabs>
              <w:tab w:val="left" w:pos="6900"/>
            </w:tabs>
            <w:jc w:val="both"/>
          </w:pPr>
          <w:r>
            <w:t>6. Съдебна терминология.</w:t>
          </w:r>
        </w:p>
        <w:p w:rsidR="006B5CE7" w:rsidRDefault="006B5CE7" w:rsidP="006B5CE7">
          <w:pPr>
            <w:tabs>
              <w:tab w:val="left" w:pos="6900"/>
            </w:tabs>
            <w:jc w:val="both"/>
          </w:pPr>
          <w:r>
            <w:t xml:space="preserve">7. Характеристика на съдебната аудитория. </w:t>
          </w:r>
        </w:p>
        <w:p w:rsidR="006B5CE7" w:rsidRDefault="006B5CE7" w:rsidP="006B5CE7">
          <w:pPr>
            <w:tabs>
              <w:tab w:val="left" w:pos="6900"/>
            </w:tabs>
            <w:jc w:val="both"/>
          </w:pPr>
          <w:r>
            <w:t xml:space="preserve">8. Професионални участници в съдебния процес. </w:t>
          </w:r>
        </w:p>
        <w:p w:rsidR="006B5CE7" w:rsidRDefault="006B5CE7" w:rsidP="006B5CE7">
          <w:pPr>
            <w:tabs>
              <w:tab w:val="left" w:pos="6900"/>
            </w:tabs>
            <w:jc w:val="both"/>
          </w:pPr>
          <w:r>
            <w:t>9. Страните като активна част от съдебната аудитория.</w:t>
          </w:r>
        </w:p>
        <w:p w:rsidR="006B5CE7" w:rsidRDefault="006B5CE7" w:rsidP="006B5CE7">
          <w:pPr>
            <w:tabs>
              <w:tab w:val="left" w:pos="6900"/>
            </w:tabs>
            <w:jc w:val="both"/>
          </w:pPr>
          <w:r>
            <w:t xml:space="preserve">10. Структура на съдебната реч. Подготовка, произнасяне, служебно и медийно отразяване. </w:t>
          </w:r>
        </w:p>
        <w:p w:rsidR="006B5CE7" w:rsidRDefault="006B5CE7" w:rsidP="006B5CE7">
          <w:pPr>
            <w:tabs>
              <w:tab w:val="left" w:pos="6900"/>
            </w:tabs>
            <w:jc w:val="both"/>
          </w:pPr>
          <w:r>
            <w:t>11.</w:t>
          </w:r>
          <w:r>
            <w:rPr>
              <w:lang w:val="bg-BG"/>
            </w:rPr>
            <w:t xml:space="preserve"> </w:t>
          </w:r>
          <w:r>
            <w:t xml:space="preserve">Известните съдебни процеси през Античността, Средновековието и съвременната епоха. </w:t>
          </w:r>
        </w:p>
        <w:p w:rsidR="006B5CE7" w:rsidRDefault="006B5CE7" w:rsidP="006B5CE7">
          <w:pPr>
            <w:tabs>
              <w:tab w:val="left" w:pos="6900"/>
            </w:tabs>
            <w:jc w:val="both"/>
          </w:pPr>
          <w:r>
            <w:t>12. Известни съдебни процеси в българската история.</w:t>
          </w:r>
        </w:p>
        <w:p w:rsidR="006B5CE7" w:rsidRDefault="006B5CE7" w:rsidP="006B5CE7">
          <w:pPr>
            <w:tabs>
              <w:tab w:val="left" w:pos="6900"/>
            </w:tabs>
            <w:jc w:val="both"/>
          </w:pPr>
          <w:r>
            <w:t>13. Реторика и делово общуване по правни въпроси</w:t>
          </w:r>
        </w:p>
        <w:p w:rsidR="006B5CE7" w:rsidRDefault="006B5CE7" w:rsidP="006B5CE7">
          <w:pPr>
            <w:tabs>
              <w:tab w:val="left" w:pos="6900"/>
            </w:tabs>
            <w:jc w:val="both"/>
          </w:pPr>
          <w:r>
            <w:t>14.</w:t>
          </w:r>
          <w:r>
            <w:rPr>
              <w:lang w:val="bg-BG"/>
            </w:rPr>
            <w:t xml:space="preserve"> </w:t>
          </w:r>
          <w:r>
            <w:t xml:space="preserve">Обществено обсъждане, обществени консултации, обществен диалог по правни въпроси. </w:t>
          </w:r>
        </w:p>
        <w:p w:rsidR="00DA6080" w:rsidRPr="00332A0B" w:rsidRDefault="006B5CE7" w:rsidP="0068766E">
          <w:pPr>
            <w:tabs>
              <w:tab w:val="left" w:pos="6900"/>
            </w:tabs>
            <w:jc w:val="both"/>
          </w:pPr>
          <w:r>
            <w:t>15.</w:t>
          </w:r>
          <w:r>
            <w:rPr>
              <w:lang w:val="bg-BG"/>
            </w:rPr>
            <w:t xml:space="preserve"> </w:t>
          </w:r>
          <w:r>
            <w:t>Невербална комуникация.</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DD5632" w:rsidRPr="00DD5632" w:rsidRDefault="00DD5632" w:rsidP="00DD5632">
          <w:pPr>
            <w:jc w:val="both"/>
            <w:rPr>
              <w:rFonts w:cs="Times New Roman"/>
              <w:szCs w:val="24"/>
              <w:lang w:val="bg-BG"/>
            </w:rPr>
          </w:pPr>
          <w:r>
            <w:rPr>
              <w:rFonts w:cs="Times New Roman"/>
              <w:szCs w:val="24"/>
              <w:lang w:val="bg-BG"/>
            </w:rPr>
            <w:t>З</w:t>
          </w:r>
          <w:r w:rsidRPr="00DD5632">
            <w:rPr>
              <w:rFonts w:cs="Times New Roman"/>
              <w:szCs w:val="24"/>
              <w:lang w:val="bg-BG"/>
            </w:rPr>
            <w:t>адължителна литература</w:t>
          </w:r>
        </w:p>
        <w:p w:rsidR="00DD5632" w:rsidRPr="00DD5632" w:rsidRDefault="00DD5632" w:rsidP="00DD5632">
          <w:pPr>
            <w:jc w:val="both"/>
            <w:rPr>
              <w:rFonts w:cs="Times New Roman"/>
              <w:szCs w:val="24"/>
              <w:lang w:val="bg-BG"/>
            </w:rPr>
          </w:pPr>
          <w:r w:rsidRPr="00DD5632">
            <w:rPr>
              <w:rFonts w:cs="Times New Roman"/>
              <w:szCs w:val="24"/>
              <w:lang w:val="bg-BG"/>
            </w:rPr>
            <w:t>Александрова, Д. Основи на реториката. Изд. СУ”Св.Климент Охридски, 2008.</w:t>
          </w:r>
        </w:p>
        <w:p w:rsidR="00DD5632" w:rsidRPr="00DD5632" w:rsidRDefault="00DD5632" w:rsidP="00DD5632">
          <w:pPr>
            <w:jc w:val="both"/>
            <w:rPr>
              <w:rFonts w:cs="Times New Roman"/>
              <w:szCs w:val="24"/>
              <w:lang w:val="bg-BG"/>
            </w:rPr>
          </w:pPr>
          <w:r w:rsidRPr="00DD5632">
            <w:rPr>
              <w:rFonts w:cs="Times New Roman"/>
              <w:szCs w:val="24"/>
              <w:lang w:val="bg-BG"/>
            </w:rPr>
            <w:t>Руменчев, В. Съдебна реторика. С., 1997.</w:t>
          </w:r>
        </w:p>
        <w:p w:rsidR="00DD5632" w:rsidRPr="00DD5632" w:rsidRDefault="00DD5632" w:rsidP="00DD5632">
          <w:pPr>
            <w:jc w:val="both"/>
            <w:rPr>
              <w:rFonts w:cs="Times New Roman"/>
              <w:szCs w:val="24"/>
              <w:lang w:val="bg-BG"/>
            </w:rPr>
          </w:pPr>
        </w:p>
        <w:p w:rsidR="00DD5632" w:rsidRPr="00DD5632" w:rsidRDefault="00DD5632" w:rsidP="00DD5632">
          <w:pPr>
            <w:jc w:val="both"/>
            <w:rPr>
              <w:rFonts w:cs="Times New Roman"/>
              <w:szCs w:val="24"/>
              <w:lang w:val="bg-BG"/>
            </w:rPr>
          </w:pPr>
          <w:r>
            <w:rPr>
              <w:rFonts w:cs="Times New Roman"/>
              <w:szCs w:val="24"/>
              <w:lang w:val="bg-BG"/>
            </w:rPr>
            <w:t>М</w:t>
          </w:r>
          <w:r w:rsidRPr="00DD5632">
            <w:rPr>
              <w:rFonts w:cs="Times New Roman"/>
              <w:szCs w:val="24"/>
              <w:lang w:val="bg-BG"/>
            </w:rPr>
            <w:t>атериали в интернет относно обществените консултации:</w:t>
          </w:r>
        </w:p>
        <w:p w:rsidR="00DD5632" w:rsidRPr="00DD5632" w:rsidRDefault="00DD5632" w:rsidP="00DD5632">
          <w:pPr>
            <w:jc w:val="both"/>
            <w:rPr>
              <w:rFonts w:cs="Times New Roman"/>
              <w:szCs w:val="24"/>
              <w:lang w:val="bg-BG"/>
            </w:rPr>
          </w:pPr>
          <w:r w:rsidRPr="00DD5632">
            <w:rPr>
              <w:rFonts w:cs="Times New Roman"/>
              <w:szCs w:val="24"/>
              <w:lang w:val="bg-BG"/>
            </w:rPr>
            <w:t>www.strategy.bg</w:t>
          </w:r>
        </w:p>
        <w:p w:rsidR="00DD5632" w:rsidRPr="00DD5632" w:rsidRDefault="00DD5632" w:rsidP="00DD5632">
          <w:pPr>
            <w:jc w:val="both"/>
            <w:rPr>
              <w:rFonts w:cs="Times New Roman"/>
              <w:szCs w:val="24"/>
              <w:lang w:val="bg-BG"/>
            </w:rPr>
          </w:pPr>
        </w:p>
        <w:p w:rsidR="00DD5632" w:rsidRPr="00DD5632" w:rsidRDefault="00DD5632" w:rsidP="00DD5632">
          <w:pPr>
            <w:jc w:val="both"/>
            <w:rPr>
              <w:rFonts w:cs="Times New Roman"/>
              <w:szCs w:val="24"/>
              <w:lang w:val="bg-BG"/>
            </w:rPr>
          </w:pPr>
          <w:r>
            <w:rPr>
              <w:rFonts w:cs="Times New Roman"/>
              <w:szCs w:val="24"/>
              <w:lang w:val="bg-BG"/>
            </w:rPr>
            <w:t>П</w:t>
          </w:r>
          <w:r w:rsidRPr="00DD5632">
            <w:rPr>
              <w:rFonts w:cs="Times New Roman"/>
              <w:szCs w:val="24"/>
              <w:lang w:val="bg-BG"/>
            </w:rPr>
            <w:t>репоръчителна литература</w:t>
          </w:r>
        </w:p>
        <w:p w:rsidR="00DD5632" w:rsidRPr="00DD5632" w:rsidRDefault="00DD5632" w:rsidP="00DD5632">
          <w:pPr>
            <w:jc w:val="both"/>
            <w:rPr>
              <w:rFonts w:cs="Times New Roman"/>
              <w:szCs w:val="24"/>
              <w:lang w:val="bg-BG"/>
            </w:rPr>
          </w:pPr>
          <w:r w:rsidRPr="00DD5632">
            <w:rPr>
              <w:rFonts w:cs="Times New Roman"/>
              <w:szCs w:val="24"/>
              <w:lang w:val="bg-BG"/>
            </w:rPr>
            <w:t>Александрова, Д. Метаморфози на реториката през XX в. Изд. СУ”Св.Климент Охридски 2006.</w:t>
          </w:r>
        </w:p>
        <w:p w:rsidR="00DD5632" w:rsidRPr="00DD5632" w:rsidRDefault="00DD5632" w:rsidP="00DD5632">
          <w:pPr>
            <w:jc w:val="both"/>
            <w:rPr>
              <w:rFonts w:cs="Times New Roman"/>
              <w:szCs w:val="24"/>
              <w:lang w:val="bg-BG"/>
            </w:rPr>
          </w:pPr>
          <w:r w:rsidRPr="00DD5632">
            <w:rPr>
              <w:rFonts w:cs="Times New Roman"/>
              <w:szCs w:val="24"/>
              <w:lang w:val="bg-BG"/>
            </w:rPr>
            <w:t>Ведър, Й. Реторика. С., 2001.</w:t>
          </w:r>
        </w:p>
        <w:p w:rsidR="00DD5632" w:rsidRPr="00DD5632" w:rsidRDefault="00DD5632" w:rsidP="00DD5632">
          <w:pPr>
            <w:jc w:val="both"/>
            <w:rPr>
              <w:rFonts w:cs="Times New Roman"/>
              <w:szCs w:val="24"/>
              <w:lang w:val="bg-BG"/>
            </w:rPr>
          </w:pPr>
          <w:r w:rsidRPr="00DD5632">
            <w:rPr>
              <w:rFonts w:cs="Times New Roman"/>
              <w:szCs w:val="24"/>
              <w:lang w:val="bg-BG"/>
            </w:rPr>
            <w:t>Радева, В. Реторика и аргументация, София: Изд. „Св. Климент Охридски”, 2006.</w:t>
          </w:r>
        </w:p>
        <w:p w:rsidR="00DD5632" w:rsidRPr="00DD5632" w:rsidRDefault="00DD5632" w:rsidP="00DD5632">
          <w:pPr>
            <w:jc w:val="both"/>
            <w:rPr>
              <w:rFonts w:cs="Times New Roman"/>
              <w:szCs w:val="24"/>
              <w:lang w:val="bg-BG"/>
            </w:rPr>
          </w:pPr>
          <w:r w:rsidRPr="00DD5632">
            <w:rPr>
              <w:rFonts w:cs="Times New Roman"/>
              <w:szCs w:val="24"/>
              <w:lang w:val="bg-BG"/>
            </w:rPr>
            <w:t xml:space="preserve">Панова, Н. (2005). Платоновият диалог, София: Изд. Сонм. </w:t>
          </w:r>
        </w:p>
        <w:p w:rsidR="00DD5632" w:rsidRPr="00DD5632" w:rsidRDefault="00DD5632" w:rsidP="00DD5632">
          <w:pPr>
            <w:jc w:val="both"/>
            <w:rPr>
              <w:rFonts w:cs="Times New Roman"/>
              <w:szCs w:val="24"/>
              <w:lang w:val="bg-BG"/>
            </w:rPr>
          </w:pPr>
          <w:r w:rsidRPr="00DD5632">
            <w:rPr>
              <w:rFonts w:cs="Times New Roman"/>
              <w:szCs w:val="24"/>
              <w:lang w:val="bg-BG"/>
            </w:rPr>
            <w:t>Аристотел. Реторика. Предговор, встъпителна студия и превод от старогръцки проф. д-р Александър Ничев. Изд. Софи-Р. 1993.</w:t>
          </w:r>
        </w:p>
        <w:p w:rsidR="00DD5632" w:rsidRPr="00DD5632" w:rsidRDefault="00DD5632" w:rsidP="00DD5632">
          <w:pPr>
            <w:jc w:val="both"/>
            <w:rPr>
              <w:rFonts w:cs="Times New Roman"/>
              <w:szCs w:val="24"/>
              <w:lang w:val="bg-BG"/>
            </w:rPr>
          </w:pPr>
          <w:r w:rsidRPr="00DD5632">
            <w:rPr>
              <w:rFonts w:cs="Times New Roman"/>
              <w:szCs w:val="24"/>
              <w:lang w:val="bg-BG"/>
            </w:rPr>
            <w:t xml:space="preserve">Цицерон. Три трактата об ораторском искусстве. Пер. с лат. Ф.А. Петовкого, И.П. Стрельниковой, М.Л. Гаспарова/. Научно издательский центр «Ладомир», М., 1972. </w:t>
          </w:r>
        </w:p>
        <w:p w:rsidR="00DD5632" w:rsidRPr="00DD5632" w:rsidRDefault="00DD5632" w:rsidP="00DD5632">
          <w:pPr>
            <w:jc w:val="both"/>
            <w:rPr>
              <w:rFonts w:cs="Times New Roman"/>
              <w:szCs w:val="24"/>
              <w:lang w:val="bg-BG"/>
            </w:rPr>
          </w:pPr>
          <w:r w:rsidRPr="00DD5632">
            <w:rPr>
              <w:rFonts w:cs="Times New Roman"/>
              <w:szCs w:val="24"/>
              <w:lang w:val="bg-BG"/>
            </w:rPr>
            <w:t>Квинтилиан. Обучението на оратора. Превод от латински Макарий Порталски, уводна студия Богдан Богданов; 2-ро изд., СОФИ-Р, 1999.</w:t>
          </w:r>
        </w:p>
        <w:p w:rsidR="00071625" w:rsidRDefault="007C2C4B"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6B5CE7"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B5CE7"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030981" w:rsidP="00FF4CA3">
          <w:pPr>
            <w:jc w:val="both"/>
            <w:rPr>
              <w:rFonts w:cs="Times New Roman"/>
              <w:szCs w:val="24"/>
              <w:lang w:val="bg-BG"/>
            </w:rPr>
          </w:pPr>
          <w:r>
            <w:rPr>
              <w:rFonts w:cs="Times New Roman"/>
              <w:szCs w:val="24"/>
              <w:lang w:val="bg-BG"/>
            </w:rPr>
            <w:t>Т</w:t>
          </w:r>
          <w:r w:rsidRPr="00030981">
            <w:rPr>
              <w:rFonts w:cs="Times New Roman"/>
              <w:szCs w:val="24"/>
              <w:lang w:val="bg-BG"/>
            </w:rPr>
            <w:t>ест със затворени въпроси и анализ на съдебна реч, съставена от студента.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127D97" w:rsidP="00127D97">
          <w:pPr>
            <w:jc w:val="both"/>
            <w:rPr>
              <w:rFonts w:cs="Times New Roman"/>
              <w:szCs w:val="24"/>
              <w:lang w:val="bg-BG"/>
            </w:rPr>
          </w:pPr>
          <w:r w:rsidRPr="00127D97">
            <w:rPr>
              <w:rFonts w:cs="Times New Roman"/>
              <w:szCs w:val="24"/>
              <w:lang w:val="bg-BG"/>
            </w:rPr>
            <w:t>Студентите трябва да са придобили основни познания, свързани с тяхната бъдеща практическа дейност като юристи</w:t>
          </w:r>
          <w:r>
            <w:rPr>
              <w:rFonts w:cs="Times New Roman"/>
              <w:szCs w:val="24"/>
              <w:lang w:val="bg-BG"/>
            </w:rPr>
            <w:t>, да владе</w:t>
          </w:r>
          <w:r w:rsidR="001763B8">
            <w:rPr>
              <w:rFonts w:cs="Times New Roman"/>
              <w:szCs w:val="24"/>
              <w:lang w:val="bg-BG"/>
            </w:rPr>
            <w:t>ят</w:t>
          </w:r>
          <w:r w:rsidRPr="00127D97">
            <w:rPr>
              <w:rFonts w:cs="Times New Roman"/>
              <w:szCs w:val="24"/>
              <w:lang w:val="bg-BG"/>
            </w:rPr>
            <w:t xml:space="preserve"> етиката и културата на</w:t>
          </w:r>
          <w:r>
            <w:rPr>
              <w:rFonts w:cs="Times New Roman"/>
              <w:szCs w:val="24"/>
              <w:lang w:val="bg-BG"/>
            </w:rPr>
            <w:t xml:space="preserve"> професионално общуване, умело да използват </w:t>
          </w:r>
          <w:r w:rsidRPr="00127D97">
            <w:rPr>
              <w:rFonts w:cs="Times New Roman"/>
              <w:szCs w:val="24"/>
              <w:lang w:val="bg-BG"/>
            </w:rPr>
            <w:t>правна</w:t>
          </w:r>
          <w:r w:rsidR="00941338">
            <w:rPr>
              <w:rFonts w:cs="Times New Roman"/>
              <w:szCs w:val="24"/>
              <w:lang w:val="bg-BG"/>
            </w:rPr>
            <w:t>та</w:t>
          </w:r>
          <w:r w:rsidRPr="00127D97">
            <w:rPr>
              <w:rFonts w:cs="Times New Roman"/>
              <w:szCs w:val="24"/>
              <w:lang w:val="bg-BG"/>
            </w:rPr>
            <w:t xml:space="preserve"> терминология и аргументация, </w:t>
          </w:r>
          <w:r w:rsidR="00941338">
            <w:rPr>
              <w:rFonts w:cs="Times New Roman"/>
              <w:szCs w:val="24"/>
              <w:lang w:val="bg-BG"/>
            </w:rPr>
            <w:t xml:space="preserve">да са </w:t>
          </w:r>
          <w:r w:rsidR="0023779E">
            <w:rPr>
              <w:rFonts w:cs="Times New Roman"/>
              <w:szCs w:val="24"/>
              <w:lang w:val="bg-BG"/>
            </w:rPr>
            <w:t>изградили</w:t>
          </w:r>
          <w:r w:rsidRPr="00127D97">
            <w:rPr>
              <w:rFonts w:cs="Times New Roman"/>
              <w:szCs w:val="24"/>
              <w:lang w:val="bg-BG"/>
            </w:rPr>
            <w:t xml:space="preserve">  навици за компетентно поведение в ситуации на публични изяви, диалогично взаимодействие и конфликти.</w:t>
          </w:r>
          <w:r>
            <w:rPr>
              <w:rFonts w:cs="Times New Roman"/>
              <w:szCs w:val="24"/>
              <w:lang w:val="bg-BG"/>
            </w:rPr>
            <w:t xml:space="preserve">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DD5632"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4B" w:rsidRDefault="007C2C4B" w:rsidP="00F44CAE">
      <w:pPr>
        <w:spacing w:after="0" w:line="240" w:lineRule="auto"/>
      </w:pPr>
      <w:r>
        <w:separator/>
      </w:r>
    </w:p>
  </w:endnote>
  <w:endnote w:type="continuationSeparator" w:id="0">
    <w:p w:rsidR="007C2C4B" w:rsidRDefault="007C2C4B"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72353C">
      <w:rPr>
        <w:noProof/>
      </w:rPr>
      <w:t>2</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4B" w:rsidRDefault="007C2C4B" w:rsidP="00F44CAE">
      <w:pPr>
        <w:spacing w:after="0" w:line="240" w:lineRule="auto"/>
      </w:pPr>
      <w:r>
        <w:separator/>
      </w:r>
    </w:p>
  </w:footnote>
  <w:footnote w:type="continuationSeparator" w:id="0">
    <w:p w:rsidR="007C2C4B" w:rsidRDefault="007C2C4B"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0981"/>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27D97"/>
    <w:rsid w:val="00135FE0"/>
    <w:rsid w:val="001763B8"/>
    <w:rsid w:val="00177D18"/>
    <w:rsid w:val="00181310"/>
    <w:rsid w:val="001D2ED5"/>
    <w:rsid w:val="001E1200"/>
    <w:rsid w:val="00211F99"/>
    <w:rsid w:val="00214378"/>
    <w:rsid w:val="0023779E"/>
    <w:rsid w:val="002840A7"/>
    <w:rsid w:val="002B7CE6"/>
    <w:rsid w:val="002C0A7A"/>
    <w:rsid w:val="002C4AD0"/>
    <w:rsid w:val="002C6022"/>
    <w:rsid w:val="002D3E7D"/>
    <w:rsid w:val="002D6CC3"/>
    <w:rsid w:val="003010E4"/>
    <w:rsid w:val="003021D8"/>
    <w:rsid w:val="00305A82"/>
    <w:rsid w:val="00316E9B"/>
    <w:rsid w:val="00321ED2"/>
    <w:rsid w:val="00327DE1"/>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2BA0"/>
    <w:rsid w:val="005E760D"/>
    <w:rsid w:val="005F23E3"/>
    <w:rsid w:val="0061481C"/>
    <w:rsid w:val="00623BF7"/>
    <w:rsid w:val="006243CF"/>
    <w:rsid w:val="00642600"/>
    <w:rsid w:val="0066260D"/>
    <w:rsid w:val="00666EDD"/>
    <w:rsid w:val="006725FA"/>
    <w:rsid w:val="00676627"/>
    <w:rsid w:val="0068766E"/>
    <w:rsid w:val="00690786"/>
    <w:rsid w:val="006B5CE7"/>
    <w:rsid w:val="006C5A07"/>
    <w:rsid w:val="006D3DE5"/>
    <w:rsid w:val="006F0822"/>
    <w:rsid w:val="007165F4"/>
    <w:rsid w:val="0072353C"/>
    <w:rsid w:val="00731E53"/>
    <w:rsid w:val="007356CE"/>
    <w:rsid w:val="00737259"/>
    <w:rsid w:val="007815D2"/>
    <w:rsid w:val="007819E1"/>
    <w:rsid w:val="007A1176"/>
    <w:rsid w:val="007A4D7F"/>
    <w:rsid w:val="007B6F3D"/>
    <w:rsid w:val="007B74F5"/>
    <w:rsid w:val="007B7BFA"/>
    <w:rsid w:val="007C2C4B"/>
    <w:rsid w:val="007D45D4"/>
    <w:rsid w:val="007D7EF5"/>
    <w:rsid w:val="007F478E"/>
    <w:rsid w:val="00810FE2"/>
    <w:rsid w:val="00822EBB"/>
    <w:rsid w:val="00855C8A"/>
    <w:rsid w:val="00857E98"/>
    <w:rsid w:val="00866FD2"/>
    <w:rsid w:val="00873624"/>
    <w:rsid w:val="00895B34"/>
    <w:rsid w:val="0089661E"/>
    <w:rsid w:val="008B54CC"/>
    <w:rsid w:val="008D05AB"/>
    <w:rsid w:val="008E751F"/>
    <w:rsid w:val="008F0F81"/>
    <w:rsid w:val="0090153B"/>
    <w:rsid w:val="009243DB"/>
    <w:rsid w:val="00933241"/>
    <w:rsid w:val="00940CE1"/>
    <w:rsid w:val="00941338"/>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A7465"/>
    <w:rsid w:val="00AB479D"/>
    <w:rsid w:val="00AD0786"/>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DD5632"/>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22366"/>
    <w:rsid w:val="00A4743F"/>
    <w:rsid w:val="00A555F1"/>
    <w:rsid w:val="00A908FB"/>
    <w:rsid w:val="00A92941"/>
    <w:rsid w:val="00AD73AB"/>
    <w:rsid w:val="00AE0D7F"/>
    <w:rsid w:val="00B3644C"/>
    <w:rsid w:val="00B40FB1"/>
    <w:rsid w:val="00BA3784"/>
    <w:rsid w:val="00C14073"/>
    <w:rsid w:val="00C35A82"/>
    <w:rsid w:val="00CA6C0F"/>
    <w:rsid w:val="00D323B8"/>
    <w:rsid w:val="00D70D61"/>
    <w:rsid w:val="00D76E75"/>
    <w:rsid w:val="00DC5581"/>
    <w:rsid w:val="00E037C5"/>
    <w:rsid w:val="00E25F5E"/>
    <w:rsid w:val="00E671CD"/>
    <w:rsid w:val="00E91AA1"/>
    <w:rsid w:val="00E9386B"/>
    <w:rsid w:val="00EB56A5"/>
    <w:rsid w:val="00EC6343"/>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BF80-5594-4686-8FEC-E13AE023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3</Pages>
  <Words>745</Words>
  <Characters>4251</Characters>
  <Application>Microsoft Office Word</Application>
  <DocSecurity>0</DocSecurity>
  <Lines>35</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MPPA3</cp:lastModifiedBy>
  <cp:revision>2</cp:revision>
  <dcterms:created xsi:type="dcterms:W3CDTF">2020-04-01T16:17:00Z</dcterms:created>
  <dcterms:modified xsi:type="dcterms:W3CDTF">2020-04-01T16:17:00Z</dcterms:modified>
</cp:coreProperties>
</file>